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r>
        <w:rPr>
          <w:rFonts w:ascii="Arial" w:hAnsi="Arial" w:eastAsia="MS Mincho" w:cs="Arial"/>
          <w:b/>
          <w:sz w:val="24"/>
          <w:szCs w:val="24"/>
        </w:rPr>
        <w:t>3GPP TSG-RAN WG4 Meeting #</w:t>
      </w:r>
      <w:r>
        <w:rPr>
          <w:rFonts w:ascii="Arial" w:hAnsi="Arial" w:cs="Arial"/>
          <w:b/>
          <w:sz w:val="24"/>
          <w:szCs w:val="24"/>
          <w:lang w:eastAsia="zh-CN"/>
        </w:rPr>
        <w:t>10</w:t>
      </w:r>
      <w:r>
        <w:rPr>
          <w:rFonts w:hint="eastAsia" w:ascii="Arial" w:hAnsi="Arial" w:cs="Arial"/>
          <w:b/>
          <w:sz w:val="24"/>
          <w:szCs w:val="24"/>
          <w:lang w:val="en-US" w:eastAsia="zh-CN"/>
        </w:rPr>
        <w:t>6</w:t>
      </w:r>
      <w:r>
        <w:rPr>
          <w:rFonts w:ascii="Arial" w:hAnsi="Arial" w:eastAsia="MS Mincho" w:cs="Arial"/>
          <w:b/>
          <w:sz w:val="24"/>
          <w:szCs w:val="24"/>
        </w:rPr>
        <w:tab/>
      </w:r>
      <w:bookmarkStart w:id="1" w:name="_GoBack"/>
      <w:r>
        <w:rPr>
          <w:rFonts w:ascii="Arial" w:hAnsi="Arial" w:eastAsia="MS Mincho" w:cs="Arial"/>
          <w:b/>
          <w:sz w:val="24"/>
          <w:szCs w:val="24"/>
        </w:rPr>
        <w:t>R4-2302903</w:t>
      </w:r>
      <w:bookmarkEnd w:id="1"/>
    </w:p>
    <w:p>
      <w:pPr>
        <w:tabs>
          <w:tab w:val="right" w:pos="10440"/>
          <w:tab w:val="right" w:pos="13323"/>
        </w:tabs>
        <w:spacing w:after="240" w:afterLines="100"/>
        <w:rPr>
          <w:rFonts w:hint="default" w:ascii="Arial" w:hAnsi="Arial" w:cs="Arial"/>
          <w:b/>
          <w:sz w:val="24"/>
          <w:szCs w:val="24"/>
          <w:lang w:val="en-US" w:eastAsia="zh-CN"/>
        </w:rPr>
      </w:pPr>
      <w:r>
        <w:rPr>
          <w:rFonts w:hint="eastAsia" w:ascii="Arial" w:hAnsi="Arial"/>
          <w:b/>
          <w:sz w:val="24"/>
          <w:szCs w:val="24"/>
          <w:lang w:val="en-US" w:eastAsia="zh-CN"/>
        </w:rPr>
        <w:t>Athens</w:t>
      </w:r>
      <w:r>
        <w:rPr>
          <w:rFonts w:ascii="Arial" w:hAnsi="Arial"/>
          <w:b/>
          <w:sz w:val="24"/>
          <w:szCs w:val="24"/>
          <w:lang w:eastAsia="zh-CN"/>
        </w:rPr>
        <w:t xml:space="preserve">, </w:t>
      </w:r>
      <w:r>
        <w:rPr>
          <w:rFonts w:hint="eastAsia" w:ascii="Arial" w:hAnsi="Arial"/>
          <w:b/>
          <w:sz w:val="24"/>
          <w:szCs w:val="24"/>
          <w:lang w:val="en-US" w:eastAsia="zh-CN"/>
        </w:rPr>
        <w:t>Greece</w:t>
      </w:r>
      <w:r>
        <w:rPr>
          <w:rFonts w:ascii="Arial" w:hAnsi="Arial"/>
          <w:b/>
          <w:sz w:val="24"/>
          <w:szCs w:val="24"/>
          <w:lang w:eastAsia="zh-CN"/>
        </w:rPr>
        <w:t xml:space="preserve">, </w:t>
      </w:r>
      <w:r>
        <w:rPr>
          <w:rFonts w:hint="eastAsia" w:ascii="Arial" w:hAnsi="Arial"/>
          <w:b/>
          <w:sz w:val="24"/>
          <w:szCs w:val="24"/>
          <w:lang w:val="en-US" w:eastAsia="zh-CN"/>
        </w:rPr>
        <w:t>27</w:t>
      </w:r>
      <w:r>
        <w:rPr>
          <w:rFonts w:hint="eastAsia" w:ascii="Arial" w:hAnsi="Arial"/>
          <w:b/>
          <w:sz w:val="24"/>
          <w:szCs w:val="24"/>
          <w:vertAlign w:val="superscript"/>
          <w:lang w:val="en-US" w:eastAsia="zh-CN"/>
        </w:rPr>
        <w:t>th</w:t>
      </w:r>
      <w:r>
        <w:rPr>
          <w:rFonts w:hint="eastAsia" w:ascii="Arial" w:hAnsi="Arial"/>
          <w:b/>
          <w:sz w:val="24"/>
          <w:szCs w:val="24"/>
          <w:lang w:val="en-US" w:eastAsia="zh-CN"/>
        </w:rPr>
        <w:t xml:space="preserve"> Feb</w:t>
      </w:r>
      <w:r>
        <w:rPr>
          <w:rFonts w:ascii="Arial" w:hAnsi="Arial"/>
          <w:b/>
          <w:sz w:val="24"/>
          <w:szCs w:val="24"/>
          <w:lang w:eastAsia="zh-CN"/>
        </w:rPr>
        <w:t xml:space="preserve"> ‒ </w:t>
      </w:r>
      <w:r>
        <w:rPr>
          <w:rFonts w:hint="eastAsia" w:ascii="Arial" w:hAnsi="Arial"/>
          <w:b/>
          <w:sz w:val="24"/>
          <w:szCs w:val="24"/>
          <w:lang w:val="en-US" w:eastAsia="zh-CN"/>
        </w:rPr>
        <w:t>3rd Mar</w:t>
      </w:r>
      <w:r>
        <w:rPr>
          <w:rFonts w:ascii="Arial" w:hAnsi="Arial"/>
          <w:b/>
          <w:sz w:val="24"/>
          <w:szCs w:val="24"/>
          <w:lang w:eastAsia="zh-CN"/>
        </w:rPr>
        <w:t>, 20</w:t>
      </w:r>
      <w:r>
        <w:rPr>
          <w:rFonts w:hint="eastAsia" w:ascii="Arial" w:hAnsi="Arial"/>
          <w:b/>
          <w:sz w:val="24"/>
          <w:szCs w:val="24"/>
          <w:lang w:val="en-US" w:eastAsia="zh-CN"/>
        </w:rPr>
        <w:t>23</w:t>
      </w:r>
    </w:p>
    <w:p>
      <w:pPr>
        <w:rPr>
          <w:rFonts w:ascii="Arial" w:hAnsi="Arial" w:cs="Arial"/>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cs="Arial"/>
          <w:b/>
          <w:sz w:val="22"/>
          <w:lang w:val="en-US" w:eastAsia="zh-CN"/>
        </w:rPr>
        <w:t xml:space="preserve">         </w:t>
      </w:r>
      <w:r>
        <w:rPr>
          <w:rFonts w:hint="eastAsia" w:ascii="Arial" w:hAnsi="Arial" w:cs="Arial"/>
          <w:sz w:val="22"/>
          <w:lang w:val="en-US" w:eastAsia="zh-CN"/>
        </w:rPr>
        <w:t>WF for NCR system parameters and RF requirements</w:t>
      </w: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b/>
          <w:sz w:val="22"/>
          <w:lang w:val="en-US" w:eastAsia="zh-CN"/>
        </w:rPr>
        <w:t xml:space="preserve">     </w:t>
      </w:r>
      <w:r>
        <w:rPr>
          <w:rFonts w:hint="eastAsia" w:ascii="Arial" w:hAnsi="Arial" w:cs="Arial"/>
          <w:color w:val="000000"/>
          <w:sz w:val="22"/>
          <w:lang w:val="en-US" w:eastAsia="zh-CN"/>
        </w:rPr>
        <w:t>9</w:t>
      </w:r>
      <w:r>
        <w:rPr>
          <w:rFonts w:hint="eastAsia" w:ascii="Arial" w:hAnsi="Arial" w:cs="Arial"/>
          <w:color w:val="000000"/>
          <w:sz w:val="22"/>
          <w:lang w:eastAsia="zh-CN"/>
        </w:rPr>
        <w:t>.</w:t>
      </w:r>
      <w:r>
        <w:rPr>
          <w:rFonts w:hint="eastAsia" w:ascii="Arial" w:hAnsi="Arial" w:cs="Arial"/>
          <w:color w:val="000000"/>
          <w:sz w:val="22"/>
          <w:lang w:val="en-US" w:eastAsia="zh-CN"/>
        </w:rPr>
        <w:t>27</w:t>
      </w:r>
      <w:r>
        <w:rPr>
          <w:rFonts w:hint="eastAsia" w:ascii="Arial" w:hAnsi="Arial" w:cs="Arial"/>
          <w:color w:val="000000"/>
          <w:sz w:val="22"/>
          <w:lang w:eastAsia="zh-CN"/>
        </w:rPr>
        <w:t>.</w:t>
      </w:r>
      <w:r>
        <w:rPr>
          <w:rFonts w:hint="eastAsia" w:ascii="Arial" w:hAnsi="Arial" w:cs="Arial"/>
          <w:color w:val="000000"/>
          <w:sz w:val="22"/>
          <w:lang w:val="en-US" w:eastAsia="zh-CN"/>
        </w:rPr>
        <w:t>4</w:t>
      </w:r>
    </w:p>
    <w:p>
      <w:pPr>
        <w:tabs>
          <w:tab w:val="left" w:pos="1985"/>
        </w:tabs>
        <w:jc w:val="both"/>
        <w:rPr>
          <w:rFonts w:hint="eastAsia" w:ascii="Arial" w:hAnsi="Arial"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sz w:val="22"/>
          <w:lang w:val="en-US" w:eastAsia="zh-CN"/>
        </w:rPr>
        <w:t>ZTE</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szCs w:val="24"/>
          <w:lang w:eastAsia="zh-CN"/>
        </w:rPr>
      </w:pPr>
      <w:r>
        <w:rPr>
          <w:rFonts w:hint="eastAsia"/>
          <w:sz w:val="28"/>
          <w:szCs w:val="28"/>
          <w:lang w:val="en-US" w:eastAsia="zh-CN"/>
        </w:rPr>
        <w:t>Agreement</w:t>
      </w:r>
    </w:p>
    <w:p>
      <w:pPr>
        <w:rPr>
          <w:iCs/>
          <w:u w:val="single"/>
          <w:lang w:val="en-US" w:eastAsia="zh-CN"/>
        </w:rPr>
      </w:pPr>
      <w:r>
        <w:rPr>
          <w:rFonts w:hint="eastAsia"/>
          <w:iCs/>
          <w:u w:val="single"/>
          <w:lang w:val="en-US" w:eastAsia="zh-CN"/>
        </w:rPr>
        <w:t>I</w:t>
      </w:r>
      <w:r>
        <w:rPr>
          <w:iCs/>
          <w:u w:val="single"/>
          <w:lang w:val="en-US"/>
        </w:rPr>
        <w:t xml:space="preserve">ssue </w:t>
      </w:r>
      <w:r>
        <w:rPr>
          <w:iCs/>
          <w:u w:val="single"/>
          <w:lang w:val="en-US" w:eastAsia="zh-CN"/>
        </w:rPr>
        <w:t>1-1</w:t>
      </w:r>
      <w:r>
        <w:rPr>
          <w:iCs/>
          <w:u w:val="single"/>
          <w:lang w:val="en-US"/>
        </w:rPr>
        <w:t xml:space="preserve">: </w:t>
      </w:r>
      <w:r>
        <w:rPr>
          <w:iCs/>
          <w:u w:val="single"/>
          <w:lang w:val="en-US" w:eastAsia="zh-CN"/>
        </w:rPr>
        <w:t>System parameter for NCR-MT</w:t>
      </w:r>
    </w:p>
    <w:p>
      <w:pPr>
        <w:pStyle w:val="89"/>
        <w:numPr>
          <w:ilvl w:val="0"/>
          <w:numId w:val="2"/>
        </w:numPr>
        <w:spacing w:line="259" w:lineRule="auto"/>
        <w:ind w:left="720"/>
      </w:pPr>
      <w:r>
        <w:t>Agreement:</w:t>
      </w:r>
    </w:p>
    <w:p>
      <w:pPr>
        <w:pStyle w:val="89"/>
        <w:numPr>
          <w:ilvl w:val="1"/>
          <w:numId w:val="2"/>
        </w:numPr>
        <w:spacing w:line="259" w:lineRule="auto"/>
        <w:ind w:left="1440"/>
        <w:rPr>
          <w:highlight w:val="none"/>
        </w:rPr>
      </w:pPr>
      <w:r>
        <w:rPr>
          <w:highlight w:val="none"/>
        </w:rPr>
        <w:t xml:space="preserve">The system parameters related to UE channel bandwidth (i.e., maximum transmission bandwidth configuration, Minimum guard band and transmission bandwidth configuration, UE channel bandwidth per operating band) need to be specified for NCR-MT transmission and reception </w:t>
      </w:r>
    </w:p>
    <w:p>
      <w:pPr>
        <w:pStyle w:val="89"/>
        <w:numPr>
          <w:ilvl w:val="1"/>
          <w:numId w:val="2"/>
        </w:numPr>
        <w:spacing w:line="259" w:lineRule="auto"/>
        <w:ind w:left="1440"/>
        <w:rPr>
          <w:color w:val="0070C0"/>
          <w:lang w:eastAsia="zh-CN"/>
        </w:rPr>
      </w:pPr>
      <w:r>
        <w:rPr>
          <w:highlight w:val="none"/>
        </w:rPr>
        <w:t>Further discuss whether reusing the system parameter based on BS specification or UE specification;</w:t>
      </w:r>
    </w:p>
    <w:p>
      <w:pPr>
        <w:rPr>
          <w:iCs/>
          <w:u w:val="single"/>
          <w:lang w:val="en-US"/>
        </w:rPr>
      </w:pPr>
      <w:r>
        <w:rPr>
          <w:rFonts w:hint="eastAsia"/>
          <w:iCs/>
          <w:u w:val="single"/>
          <w:lang w:val="en-US"/>
        </w:rPr>
        <w:t>Issue 1-3: NCR types</w:t>
      </w:r>
    </w:p>
    <w:p>
      <w:pPr>
        <w:pStyle w:val="89"/>
        <w:numPr>
          <w:ilvl w:val="0"/>
          <w:numId w:val="2"/>
        </w:numPr>
        <w:spacing w:line="259" w:lineRule="auto"/>
        <w:ind w:left="720"/>
      </w:pPr>
      <w:r>
        <w:t>Agreement:</w:t>
      </w:r>
    </w:p>
    <w:p>
      <w:pPr>
        <w:pStyle w:val="89"/>
        <w:numPr>
          <w:ilvl w:val="1"/>
          <w:numId w:val="2"/>
        </w:numPr>
        <w:spacing w:line="259" w:lineRule="auto"/>
        <w:ind w:left="1440"/>
        <w:rPr>
          <w:highlight w:val="none"/>
        </w:rPr>
      </w:pPr>
      <w:r>
        <w:rPr>
          <w:highlight w:val="none"/>
        </w:rPr>
        <w:t xml:space="preserve">For NCR: 1-C, 1-H and 1- O and 2-O need to be specified. </w:t>
      </w:r>
    </w:p>
    <w:p>
      <w:pPr>
        <w:pStyle w:val="89"/>
        <w:numPr>
          <w:ilvl w:val="2"/>
          <w:numId w:val="2"/>
        </w:numPr>
        <w:spacing w:line="259" w:lineRule="auto"/>
      </w:pPr>
      <w:r>
        <w:rPr>
          <w:highlight w:val="none"/>
        </w:rPr>
        <w:t xml:space="preserve">FFS whether separate declaration needed for MT, NW side and UE side at fwd. link for FR1 NCR </w:t>
      </w:r>
    </w:p>
    <w:p>
      <w:pPr>
        <w:rPr>
          <w:iCs/>
          <w:u w:val="single"/>
          <w:lang w:val="en-US"/>
        </w:rPr>
      </w:pPr>
      <w:r>
        <w:rPr>
          <w:iCs/>
          <w:u w:val="single"/>
          <w:lang w:val="en-US"/>
        </w:rPr>
        <w:t xml:space="preserve">Issue </w:t>
      </w:r>
      <w:r>
        <w:rPr>
          <w:rFonts w:hint="eastAsia"/>
          <w:iCs/>
          <w:u w:val="single"/>
          <w:lang w:val="en-US"/>
        </w:rPr>
        <w:t>2-2 BC for NCR</w:t>
      </w:r>
    </w:p>
    <w:p>
      <w:pPr>
        <w:pStyle w:val="89"/>
        <w:numPr>
          <w:ilvl w:val="0"/>
          <w:numId w:val="2"/>
        </w:numPr>
        <w:spacing w:line="259" w:lineRule="auto"/>
        <w:ind w:left="720"/>
        <w:rPr>
          <w:highlight w:val="none"/>
        </w:rPr>
      </w:pPr>
      <w:r>
        <w:t xml:space="preserve">Agreement: </w:t>
      </w:r>
    </w:p>
    <w:p>
      <w:pPr>
        <w:pStyle w:val="89"/>
        <w:numPr>
          <w:ilvl w:val="0"/>
          <w:numId w:val="0"/>
        </w:numPr>
        <w:spacing w:line="259" w:lineRule="auto"/>
        <w:ind w:leftChars="200" w:firstLine="800" w:firstLineChars="400"/>
        <w:rPr>
          <w:highlight w:val="none"/>
        </w:rPr>
      </w:pPr>
      <w:r>
        <w:rPr>
          <w:rFonts w:hint="eastAsia"/>
          <w:highlight w:val="none"/>
        </w:rPr>
        <w:t>Do not define beam correspondence requirements similar as for IAB-MT</w:t>
      </w:r>
    </w:p>
    <w:p>
      <w:pPr>
        <w:rPr>
          <w:iCs/>
          <w:u w:val="single"/>
          <w:lang w:val="en-US"/>
        </w:rPr>
      </w:pPr>
      <w:r>
        <w:rPr>
          <w:iCs/>
          <w:u w:val="single"/>
          <w:lang w:val="en-US"/>
        </w:rPr>
        <w:t xml:space="preserve">Issue 2-3-2:  Power control tolerance requirement for NCR-MT </w:t>
      </w:r>
    </w:p>
    <w:p>
      <w:pPr>
        <w:pStyle w:val="89"/>
        <w:numPr>
          <w:ilvl w:val="0"/>
          <w:numId w:val="2"/>
        </w:numPr>
        <w:spacing w:line="259" w:lineRule="auto"/>
        <w:rPr>
          <w:szCs w:val="20"/>
          <w:highlight w:val="none"/>
        </w:rPr>
      </w:pPr>
      <w:r>
        <w:rPr>
          <w:szCs w:val="20"/>
          <w:highlight w:val="none"/>
        </w:rPr>
        <w:t xml:space="preserve">Agreement: Further clarify WI scope on power control functionality for MT part. </w:t>
      </w:r>
    </w:p>
    <w:p>
      <w:pPr>
        <w:rPr>
          <w:iCs/>
          <w:u w:val="single"/>
          <w:lang w:val="en-US"/>
        </w:rPr>
      </w:pPr>
      <w:r>
        <w:rPr>
          <w:iCs/>
          <w:u w:val="single"/>
          <w:lang w:val="en-US"/>
        </w:rPr>
        <w:t xml:space="preserve">Issue 2-4-1: Refense requirements for NCR-MT  </w:t>
      </w:r>
    </w:p>
    <w:p>
      <w:pPr>
        <w:pStyle w:val="89"/>
        <w:numPr>
          <w:ilvl w:val="0"/>
          <w:numId w:val="2"/>
        </w:numPr>
        <w:spacing w:line="259" w:lineRule="auto"/>
        <w:ind w:left="720"/>
        <w:rPr>
          <w:szCs w:val="20"/>
        </w:rPr>
      </w:pPr>
      <w:r>
        <w:rPr>
          <w:szCs w:val="20"/>
        </w:rPr>
        <w:t>Proposals</w:t>
      </w:r>
    </w:p>
    <w:p>
      <w:pPr>
        <w:pStyle w:val="89"/>
        <w:numPr>
          <w:ilvl w:val="1"/>
          <w:numId w:val="2"/>
        </w:numPr>
        <w:spacing w:line="259" w:lineRule="auto"/>
        <w:ind w:left="1440"/>
        <w:rPr>
          <w:szCs w:val="20"/>
        </w:rPr>
      </w:pPr>
      <w:r>
        <w:rPr>
          <w:szCs w:val="20"/>
        </w:rPr>
        <w:t>Proposal 3: for the RF requirement of NCR-MT receiver, to define the refense requirement for NCR-MT receiver.  [ZTE,R4-2301742]</w:t>
      </w:r>
    </w:p>
    <w:p>
      <w:pPr>
        <w:ind w:left="1400" w:leftChars="700"/>
        <w:rPr>
          <w:lang w:val="en-US" w:eastAsia="zh-CN"/>
        </w:rPr>
      </w:pPr>
      <w:r>
        <w:rPr>
          <w:lang w:val="en-US" w:eastAsia="zh-CN"/>
        </w:rPr>
        <w:t>For FR1 NCR-MT receiver, the REFSENS level can be calculated by the equation below:</w:t>
      </w:r>
    </w:p>
    <w:p>
      <w:pPr>
        <w:pStyle w:val="116"/>
        <w:ind w:left="1400" w:leftChars="700"/>
        <w:rPr>
          <w:lang w:val="en-US" w:eastAsia="zh-CN"/>
        </w:rPr>
      </w:pPr>
      <w:r>
        <w:rPr>
          <w:rFonts w:eastAsia="Malgun Gothic"/>
          <w:lang w:val="en-US"/>
        </w:rPr>
        <w:tab/>
      </w:r>
      <w:r>
        <w:rPr>
          <w:lang w:val="en-US" w:eastAsia="zh-CN"/>
        </w:rPr>
        <w:t>Sensitivity = -174dBm(kT) + 10*log(R</w:t>
      </w:r>
      <w:r>
        <w:rPr>
          <w:vertAlign w:val="subscript"/>
          <w:lang w:val="en-US" w:eastAsia="zh-CN"/>
        </w:rPr>
        <w:t>X</w:t>
      </w:r>
      <w:r>
        <w:rPr>
          <w:lang w:val="en-US" w:eastAsia="zh-CN"/>
        </w:rPr>
        <w:t xml:space="preserve"> BW) + NF + SNR +IM </w:t>
      </w:r>
    </w:p>
    <w:p>
      <w:pPr>
        <w:ind w:left="1400" w:leftChars="700"/>
        <w:rPr>
          <w:bCs/>
          <w:lang w:val="en-US" w:eastAsia="zh-CN"/>
        </w:rPr>
      </w:pPr>
      <w:r>
        <w:rPr>
          <w:bCs/>
          <w:lang w:val="en-US" w:eastAsia="zh-CN"/>
        </w:rPr>
        <w:t>Where:</w:t>
      </w:r>
    </w:p>
    <w:p>
      <w:pPr>
        <w:numPr>
          <w:ilvl w:val="0"/>
          <w:numId w:val="3"/>
        </w:numPr>
        <w:spacing w:line="259" w:lineRule="auto"/>
        <w:ind w:left="1400" w:leftChars="700"/>
        <w:rPr>
          <w:bCs/>
          <w:lang w:val="en-US" w:eastAsia="zh-CN"/>
        </w:rPr>
      </w:pPr>
      <w:r>
        <w:rPr>
          <w:bCs/>
          <w:lang w:val="en-US" w:eastAsia="zh-CN"/>
        </w:rPr>
        <w:t>The Rx BW is identical to the transmission bandwidth configuration, which is determined by the spectrum utilization. The RB values in the analysis of this contribution are based on the agreed SU for NR;</w:t>
      </w:r>
    </w:p>
    <w:p>
      <w:pPr>
        <w:numPr>
          <w:ilvl w:val="0"/>
          <w:numId w:val="3"/>
        </w:numPr>
        <w:spacing w:line="259" w:lineRule="auto"/>
        <w:ind w:left="1400" w:leftChars="700"/>
        <w:rPr>
          <w:bCs/>
          <w:lang w:val="en-US" w:eastAsia="zh-CN"/>
        </w:rPr>
      </w:pPr>
      <w:r>
        <w:rPr>
          <w:bCs/>
          <w:lang w:val="en-US" w:eastAsia="zh-CN"/>
        </w:rPr>
        <w:t>SNR is equal to -1dB;</w:t>
      </w:r>
    </w:p>
    <w:p>
      <w:pPr>
        <w:numPr>
          <w:ilvl w:val="0"/>
          <w:numId w:val="3"/>
        </w:numPr>
        <w:spacing w:line="259" w:lineRule="auto"/>
        <w:ind w:left="1400" w:leftChars="700"/>
        <w:rPr>
          <w:bCs/>
          <w:lang w:val="en-US" w:eastAsia="zh-CN"/>
        </w:rPr>
      </w:pPr>
      <w:r>
        <w:rPr>
          <w:bCs/>
          <w:lang w:val="en-US" w:eastAsia="zh-CN"/>
        </w:rPr>
        <w:t xml:space="preserve">NF is assumed as 5dB for WA NCR-MT, </w:t>
      </w:r>
      <w:r>
        <w:rPr>
          <w:bCs/>
          <w:strike/>
          <w:lang w:val="en-US" w:eastAsia="zh-CN"/>
        </w:rPr>
        <w:t>10dB for MR NCR-MT</w:t>
      </w:r>
      <w:r>
        <w:rPr>
          <w:bCs/>
          <w:lang w:val="en-US" w:eastAsia="zh-CN"/>
        </w:rPr>
        <w:t xml:space="preserve"> and 13dB for LA NCR-MT;</w:t>
      </w:r>
    </w:p>
    <w:p>
      <w:pPr>
        <w:numPr>
          <w:ilvl w:val="0"/>
          <w:numId w:val="3"/>
        </w:numPr>
        <w:spacing w:line="259" w:lineRule="auto"/>
        <w:ind w:left="1400" w:leftChars="700"/>
        <w:rPr>
          <w:bCs/>
          <w:lang w:val="en-US" w:eastAsia="ja-JP"/>
        </w:rPr>
      </w:pPr>
      <w:r>
        <w:rPr>
          <w:bCs/>
          <w:lang w:val="en-US" w:eastAsia="zh-CN"/>
        </w:rPr>
        <w:t>IM is equal to 2dB;</w:t>
      </w:r>
    </w:p>
    <w:p>
      <w:pPr>
        <w:spacing w:after="0"/>
        <w:ind w:left="1400" w:leftChars="700"/>
        <w:rPr>
          <w:lang w:val="en-US" w:eastAsia="zh-CN"/>
        </w:rPr>
      </w:pPr>
    </w:p>
    <w:p>
      <w:pPr>
        <w:ind w:left="1400" w:leftChars="700"/>
        <w:rPr>
          <w:lang w:val="en-US" w:eastAsia="zh-CN"/>
        </w:rPr>
      </w:pPr>
      <w:r>
        <w:rPr>
          <w:lang w:val="en-US" w:eastAsia="zh-CN"/>
        </w:rPr>
        <w:t>For FR2 NCR-MT receiver, the REFSENS level can be calculated by the equation below:</w:t>
      </w:r>
    </w:p>
    <w:p>
      <w:pPr>
        <w:spacing w:after="0"/>
        <w:ind w:left="1400" w:leftChars="700"/>
        <w:jc w:val="center"/>
        <w:rPr>
          <w:lang w:val="en-US" w:eastAsia="zh-CN"/>
        </w:rPr>
      </w:pPr>
      <w:r>
        <w:rPr>
          <w:lang w:val="en-US" w:eastAsia="zh-CN"/>
        </w:rPr>
        <w:t>Sensitivity = -174dBm(kT) + 10*log(R</w:t>
      </w:r>
      <w:r>
        <w:rPr>
          <w:vertAlign w:val="subscript"/>
          <w:lang w:val="en-US" w:eastAsia="zh-CN"/>
        </w:rPr>
        <w:t>X</w:t>
      </w:r>
      <w:r>
        <w:rPr>
          <w:lang w:val="en-US" w:eastAsia="zh-CN"/>
        </w:rPr>
        <w:t xml:space="preserve"> BW) + NF + SNR +IM-G</w:t>
      </w:r>
    </w:p>
    <w:p>
      <w:pPr>
        <w:ind w:left="1400" w:leftChars="700"/>
        <w:rPr>
          <w:bCs/>
          <w:lang w:val="en-US" w:eastAsia="zh-CN"/>
        </w:rPr>
      </w:pPr>
      <w:r>
        <w:rPr>
          <w:bCs/>
          <w:lang w:val="en-US" w:eastAsia="zh-CN"/>
        </w:rPr>
        <w:t>Where:</w:t>
      </w:r>
    </w:p>
    <w:p>
      <w:pPr>
        <w:numPr>
          <w:ilvl w:val="0"/>
          <w:numId w:val="3"/>
        </w:numPr>
        <w:spacing w:line="259" w:lineRule="auto"/>
        <w:ind w:left="1400" w:leftChars="700"/>
        <w:rPr>
          <w:bCs/>
          <w:lang w:val="en-US" w:eastAsia="zh-CN"/>
        </w:rPr>
      </w:pPr>
      <w:r>
        <w:rPr>
          <w:bCs/>
          <w:lang w:val="en-US" w:eastAsia="zh-CN"/>
        </w:rPr>
        <w:t>The Rx BW is identical to the transmission bandwidth configuration, which is determined by the spectrum utilization. The RB values in the analysis of this contribution are based on the agreed SU for NR;</w:t>
      </w:r>
    </w:p>
    <w:p>
      <w:pPr>
        <w:numPr>
          <w:ilvl w:val="0"/>
          <w:numId w:val="3"/>
        </w:numPr>
        <w:spacing w:line="259" w:lineRule="auto"/>
        <w:ind w:left="1400" w:leftChars="700"/>
        <w:rPr>
          <w:bCs/>
          <w:lang w:val="en-US" w:eastAsia="zh-CN"/>
        </w:rPr>
      </w:pPr>
      <w:r>
        <w:rPr>
          <w:bCs/>
          <w:lang w:val="en-US" w:eastAsia="zh-CN"/>
        </w:rPr>
        <w:t>SNR is equal to -1dB;</w:t>
      </w:r>
    </w:p>
    <w:p>
      <w:pPr>
        <w:numPr>
          <w:ilvl w:val="0"/>
          <w:numId w:val="3"/>
        </w:numPr>
        <w:spacing w:line="259" w:lineRule="auto"/>
        <w:ind w:left="1400" w:leftChars="700"/>
        <w:rPr>
          <w:bCs/>
          <w:lang w:val="en-US" w:eastAsia="ja-JP"/>
        </w:rPr>
      </w:pPr>
      <w:r>
        <w:rPr>
          <w:bCs/>
          <w:lang w:val="en-US" w:eastAsia="zh-CN"/>
        </w:rPr>
        <w:t>NF is assumed as shown in Table 3;</w:t>
      </w:r>
    </w:p>
    <w:p>
      <w:pPr>
        <w:numPr>
          <w:ilvl w:val="0"/>
          <w:numId w:val="3"/>
        </w:numPr>
        <w:spacing w:line="259" w:lineRule="auto"/>
        <w:ind w:left="1400" w:leftChars="700"/>
        <w:rPr>
          <w:bCs/>
          <w:lang w:val="en-US" w:eastAsia="ja-JP"/>
        </w:rPr>
      </w:pPr>
      <w:r>
        <w:rPr>
          <w:bCs/>
          <w:lang w:val="en-US" w:eastAsia="zh-CN"/>
        </w:rPr>
        <w:t>G is antenna array gain assumed as in Table 1 for WA and Table 2 for MR and LA;</w:t>
      </w:r>
    </w:p>
    <w:p>
      <w:pPr>
        <w:numPr>
          <w:ilvl w:val="0"/>
          <w:numId w:val="3"/>
        </w:numPr>
        <w:spacing w:after="0"/>
        <w:ind w:left="1400" w:leftChars="700"/>
        <w:rPr>
          <w:lang w:val="en-US" w:eastAsia="zh-CN"/>
        </w:rPr>
      </w:pPr>
      <w:r>
        <w:rPr>
          <w:bCs/>
          <w:lang w:val="en-US" w:eastAsia="zh-CN"/>
        </w:rPr>
        <w:t>IM is equal to 2dB</w:t>
      </w:r>
    </w:p>
    <w:p>
      <w:pPr>
        <w:pStyle w:val="97"/>
        <w:ind w:left="1400" w:leftChars="700"/>
        <w:rPr>
          <w:rFonts w:ascii="Times New Roman" w:hAnsi="Times New Roman"/>
          <w:lang w:val="en-US"/>
        </w:rPr>
      </w:pPr>
      <w:r>
        <w:rPr>
          <w:rFonts w:ascii="Times New Roman" w:hAnsi="Times New Roman"/>
          <w:lang w:val="en-US" w:eastAsia="zh-CN"/>
        </w:rPr>
        <w:t>T</w:t>
      </w:r>
      <w:r>
        <w:rPr>
          <w:rFonts w:ascii="Times New Roman" w:hAnsi="Times New Roman"/>
          <w:lang w:val="en-US"/>
        </w:rPr>
        <w:t>able</w:t>
      </w:r>
      <w:r>
        <w:rPr>
          <w:rFonts w:ascii="Times New Roman" w:hAnsi="Times New Roman"/>
          <w:lang w:val="en-US" w:eastAsia="zh-CN"/>
        </w:rPr>
        <w:t xml:space="preserve"> </w:t>
      </w:r>
      <w:r>
        <w:rPr>
          <w:rFonts w:ascii="Times New Roman" w:hAnsi="Times New Roman"/>
          <w:lang w:val="en-US"/>
        </w:rPr>
        <w:t>1: G assumptions for calculating FR2 WA OTA REFSENS range</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2133"/>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61"/>
              <w:ind w:left="1400" w:leftChars="700"/>
              <w:rPr>
                <w:rFonts w:ascii="Times New Roman" w:hAnsi="Times New Roman"/>
                <w:sz w:val="20"/>
                <w:lang w:eastAsia="ja-JP"/>
              </w:rPr>
            </w:pPr>
            <w:r>
              <w:rPr>
                <w:rFonts w:ascii="Times New Roman" w:hAnsi="Times New Roman"/>
                <w:sz w:val="20"/>
                <w:lang w:eastAsia="ja-JP"/>
              </w:rPr>
              <w:t>BS class</w:t>
            </w:r>
          </w:p>
        </w:tc>
        <w:tc>
          <w:tcPr>
            <w:tcW w:w="3573" w:type="dxa"/>
            <w:gridSpan w:val="2"/>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61"/>
              <w:ind w:left="1400" w:leftChars="700"/>
              <w:rPr>
                <w:rFonts w:ascii="Times New Roman" w:hAnsi="Times New Roman"/>
                <w:sz w:val="20"/>
                <w:lang w:eastAsia="ja-JP"/>
              </w:rPr>
            </w:pPr>
          </w:p>
        </w:tc>
        <w:tc>
          <w:tcPr>
            <w:tcW w:w="1872"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 xml:space="preserve">30 GHz </w:t>
            </w:r>
            <w:r>
              <w:rPr>
                <w:rFonts w:ascii="Times New Roman" w:hAnsi="Times New Roman"/>
                <w:sz w:val="20"/>
                <w:lang w:eastAsia="ja-JP"/>
              </w:rPr>
              <w:br w:type="textWrapping"/>
            </w:r>
            <w:r>
              <w:rPr>
                <w:rFonts w:ascii="Times New Roman" w:hAnsi="Times New Roman"/>
                <w:sz w:val="20"/>
                <w:lang w:eastAsia="ja-JP"/>
              </w:rPr>
              <w:t>(24.25 – 33.4 GHz)</w:t>
            </w:r>
          </w:p>
        </w:tc>
        <w:tc>
          <w:tcPr>
            <w:tcW w:w="1701"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 xml:space="preserve">45GHz </w:t>
            </w:r>
            <w:r>
              <w:rPr>
                <w:rFonts w:ascii="Times New Roman" w:hAnsi="Times New Roman"/>
                <w:sz w:val="20"/>
                <w:lang w:eastAsia="ja-JP"/>
              </w:rPr>
              <w:br w:type="textWrapping"/>
            </w:r>
            <w:r>
              <w:rPr>
                <w:rFonts w:ascii="Times New Roman" w:hAnsi="Times New Roman"/>
                <w:sz w:val="20"/>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62"/>
              <w:ind w:left="1400" w:leftChars="700"/>
              <w:rPr>
                <w:rFonts w:ascii="Times New Roman" w:hAnsi="Times New Roman"/>
                <w:sz w:val="20"/>
              </w:rPr>
            </w:pPr>
            <w:r>
              <w:rPr>
                <w:rFonts w:ascii="Times New Roman" w:hAnsi="Times New Roman"/>
                <w:sz w:val="20"/>
              </w:rPr>
              <w:t>WA</w:t>
            </w:r>
          </w:p>
        </w:tc>
        <w:tc>
          <w:tcPr>
            <w:tcW w:w="1872" w:type="dxa"/>
            <w:shd w:val="clear" w:color="auto" w:fill="auto"/>
            <w:vAlign w:val="bottom"/>
          </w:tcPr>
          <w:p>
            <w:pPr>
              <w:pStyle w:val="62"/>
              <w:ind w:left="1400" w:leftChars="700"/>
              <w:rPr>
                <w:rFonts w:ascii="Times New Roman" w:hAnsi="Times New Roman"/>
                <w:sz w:val="20"/>
                <w:lang w:eastAsia="ja-JP"/>
              </w:rPr>
            </w:pPr>
            <w:r>
              <w:rPr>
                <w:rFonts w:ascii="Times New Roman" w:hAnsi="Times New Roman"/>
                <w:sz w:val="20"/>
              </w:rPr>
              <w:t>10 to 33 dBi</w:t>
            </w:r>
          </w:p>
        </w:tc>
        <w:tc>
          <w:tcPr>
            <w:tcW w:w="1701" w:type="dxa"/>
            <w:shd w:val="clear" w:color="auto" w:fill="auto"/>
            <w:vAlign w:val="bottom"/>
          </w:tcPr>
          <w:p>
            <w:pPr>
              <w:pStyle w:val="62"/>
              <w:ind w:left="1400" w:leftChars="700"/>
              <w:rPr>
                <w:rFonts w:ascii="Times New Roman" w:hAnsi="Times New Roman"/>
                <w:sz w:val="20"/>
                <w:lang w:eastAsia="ja-JP"/>
              </w:rPr>
            </w:pPr>
            <w:r>
              <w:rPr>
                <w:rFonts w:ascii="Times New Roman" w:hAnsi="Times New Roman"/>
                <w:sz w:val="20"/>
              </w:rPr>
              <w:t>12 to 35 dBi</w:t>
            </w:r>
          </w:p>
        </w:tc>
      </w:tr>
    </w:tbl>
    <w:p>
      <w:pPr>
        <w:spacing w:after="0"/>
        <w:ind w:left="1400" w:leftChars="700"/>
        <w:rPr>
          <w:lang w:val="en-US" w:eastAsia="zh-CN"/>
        </w:rPr>
      </w:pPr>
      <w:r>
        <w:rPr>
          <w:lang w:val="en-US" w:eastAsia="zh-CN"/>
        </w:rPr>
        <w:t xml:space="preserve"> </w:t>
      </w:r>
    </w:p>
    <w:p>
      <w:pPr>
        <w:pStyle w:val="97"/>
        <w:ind w:left="1400" w:leftChars="700"/>
        <w:rPr>
          <w:rFonts w:ascii="Times New Roman" w:hAnsi="Times New Roman"/>
          <w:lang w:val="en-US"/>
        </w:rPr>
      </w:pPr>
      <w:r>
        <w:rPr>
          <w:rFonts w:ascii="Times New Roman" w:hAnsi="Times New Roman"/>
          <w:lang w:val="en-US"/>
        </w:rPr>
        <w:t>Table 2: G assumptions for calculating FR2 MR and LA OTA REFSENS range</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2133"/>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61"/>
              <w:ind w:left="1400" w:leftChars="700"/>
              <w:rPr>
                <w:rFonts w:ascii="Times New Roman" w:hAnsi="Times New Roman"/>
                <w:sz w:val="20"/>
                <w:lang w:eastAsia="ja-JP"/>
              </w:rPr>
            </w:pPr>
            <w:r>
              <w:rPr>
                <w:rFonts w:ascii="Times New Roman" w:hAnsi="Times New Roman"/>
                <w:sz w:val="20"/>
                <w:lang w:eastAsia="ja-JP"/>
              </w:rPr>
              <w:t>BS class</w:t>
            </w:r>
          </w:p>
        </w:tc>
        <w:tc>
          <w:tcPr>
            <w:tcW w:w="3504" w:type="dxa"/>
            <w:gridSpan w:val="2"/>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61"/>
              <w:ind w:left="1400" w:leftChars="700"/>
              <w:rPr>
                <w:rFonts w:ascii="Times New Roman" w:hAnsi="Times New Roman"/>
                <w:sz w:val="20"/>
                <w:lang w:eastAsia="ja-JP"/>
              </w:rPr>
            </w:pPr>
          </w:p>
        </w:tc>
        <w:tc>
          <w:tcPr>
            <w:tcW w:w="1752"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 xml:space="preserve">30 GHz </w:t>
            </w:r>
            <w:r>
              <w:rPr>
                <w:rFonts w:ascii="Times New Roman" w:hAnsi="Times New Roman"/>
                <w:sz w:val="20"/>
                <w:lang w:eastAsia="ja-JP"/>
              </w:rPr>
              <w:br w:type="textWrapping"/>
            </w:r>
            <w:r>
              <w:rPr>
                <w:rFonts w:ascii="Times New Roman" w:hAnsi="Times New Roman"/>
                <w:sz w:val="20"/>
                <w:lang w:eastAsia="ja-JP"/>
              </w:rPr>
              <w:t>(24.25 – 33.4 GHz)</w:t>
            </w:r>
          </w:p>
        </w:tc>
        <w:tc>
          <w:tcPr>
            <w:tcW w:w="1752"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 xml:space="preserve">45GHz </w:t>
            </w:r>
            <w:r>
              <w:rPr>
                <w:rFonts w:ascii="Times New Roman" w:hAnsi="Times New Roman"/>
                <w:sz w:val="20"/>
                <w:lang w:eastAsia="ja-JP"/>
              </w:rPr>
              <w:br w:type="textWrapping"/>
            </w:r>
            <w:r>
              <w:rPr>
                <w:rFonts w:ascii="Times New Roman" w:hAnsi="Times New Roman"/>
                <w:sz w:val="20"/>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62"/>
              <w:ind w:left="1400" w:leftChars="700"/>
              <w:rPr>
                <w:rFonts w:ascii="Times New Roman" w:hAnsi="Times New Roman"/>
                <w:strike/>
                <w:sz w:val="20"/>
              </w:rPr>
            </w:pPr>
            <w:r>
              <w:rPr>
                <w:rFonts w:ascii="Times New Roman" w:hAnsi="Times New Roman"/>
                <w:strike/>
                <w:sz w:val="20"/>
              </w:rPr>
              <w:t>MR</w:t>
            </w:r>
          </w:p>
        </w:tc>
        <w:tc>
          <w:tcPr>
            <w:tcW w:w="1752" w:type="dxa"/>
            <w:shd w:val="clear" w:color="auto" w:fill="auto"/>
            <w:vAlign w:val="bottom"/>
          </w:tcPr>
          <w:p>
            <w:pPr>
              <w:pStyle w:val="62"/>
              <w:ind w:left="1400" w:leftChars="700"/>
              <w:rPr>
                <w:rFonts w:ascii="Times New Roman" w:hAnsi="Times New Roman"/>
                <w:strike/>
                <w:sz w:val="20"/>
                <w:lang w:eastAsia="ja-JP"/>
              </w:rPr>
            </w:pPr>
            <w:r>
              <w:rPr>
                <w:rFonts w:ascii="Times New Roman" w:hAnsi="Times New Roman"/>
                <w:strike/>
                <w:sz w:val="20"/>
              </w:rPr>
              <w:t>[5 to 28] dBi</w:t>
            </w:r>
          </w:p>
        </w:tc>
        <w:tc>
          <w:tcPr>
            <w:tcW w:w="1752" w:type="dxa"/>
            <w:shd w:val="clear" w:color="auto" w:fill="auto"/>
            <w:vAlign w:val="bottom"/>
          </w:tcPr>
          <w:p>
            <w:pPr>
              <w:pStyle w:val="62"/>
              <w:ind w:left="1400" w:leftChars="700"/>
              <w:rPr>
                <w:rFonts w:ascii="Times New Roman" w:hAnsi="Times New Roman"/>
                <w:strike/>
                <w:sz w:val="20"/>
                <w:lang w:eastAsia="ja-JP"/>
              </w:rPr>
            </w:pPr>
            <w:r>
              <w:rPr>
                <w:rFonts w:ascii="Times New Roman" w:hAnsi="Times New Roman"/>
                <w:strike/>
                <w:sz w:val="20"/>
              </w:rPr>
              <w:t>[7 to 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62"/>
              <w:ind w:left="1400" w:leftChars="700"/>
              <w:rPr>
                <w:rFonts w:ascii="Times New Roman" w:hAnsi="Times New Roman"/>
                <w:sz w:val="20"/>
              </w:rPr>
            </w:pPr>
            <w:r>
              <w:rPr>
                <w:rFonts w:ascii="Times New Roman" w:hAnsi="Times New Roman"/>
                <w:sz w:val="20"/>
              </w:rPr>
              <w:t>LA</w:t>
            </w:r>
          </w:p>
        </w:tc>
        <w:tc>
          <w:tcPr>
            <w:tcW w:w="1752" w:type="dxa"/>
            <w:shd w:val="clear" w:color="auto" w:fill="auto"/>
            <w:vAlign w:val="bottom"/>
          </w:tcPr>
          <w:p>
            <w:pPr>
              <w:pStyle w:val="62"/>
              <w:ind w:left="1400" w:leftChars="700"/>
              <w:rPr>
                <w:rFonts w:ascii="Times New Roman" w:hAnsi="Times New Roman"/>
                <w:sz w:val="20"/>
              </w:rPr>
            </w:pPr>
            <w:r>
              <w:rPr>
                <w:rFonts w:ascii="Times New Roman" w:hAnsi="Times New Roman"/>
                <w:sz w:val="20"/>
              </w:rPr>
              <w:t>0 to 23 dBi</w:t>
            </w:r>
          </w:p>
        </w:tc>
        <w:tc>
          <w:tcPr>
            <w:tcW w:w="1752" w:type="dxa"/>
            <w:shd w:val="clear" w:color="auto" w:fill="auto"/>
            <w:vAlign w:val="bottom"/>
          </w:tcPr>
          <w:p>
            <w:pPr>
              <w:pStyle w:val="62"/>
              <w:ind w:left="1400" w:leftChars="700"/>
              <w:rPr>
                <w:rFonts w:ascii="Times New Roman" w:hAnsi="Times New Roman"/>
                <w:sz w:val="20"/>
              </w:rPr>
            </w:pPr>
            <w:r>
              <w:rPr>
                <w:rFonts w:ascii="Times New Roman" w:hAnsi="Times New Roman"/>
                <w:sz w:val="20"/>
              </w:rPr>
              <w:t>2 to 25 dBi</w:t>
            </w:r>
          </w:p>
        </w:tc>
      </w:tr>
    </w:tbl>
    <w:p>
      <w:pPr>
        <w:spacing w:after="0"/>
        <w:ind w:left="1400" w:leftChars="700"/>
        <w:rPr>
          <w:lang w:val="en-US" w:eastAsia="zh-CN"/>
        </w:rPr>
      </w:pPr>
    </w:p>
    <w:p>
      <w:pPr>
        <w:spacing w:after="0"/>
        <w:ind w:left="1400" w:leftChars="700"/>
        <w:rPr>
          <w:lang w:val="en-US" w:eastAsia="zh-CN"/>
        </w:rPr>
      </w:pPr>
    </w:p>
    <w:p>
      <w:pPr>
        <w:pStyle w:val="97"/>
        <w:ind w:left="1400" w:leftChars="700"/>
        <w:rPr>
          <w:rFonts w:ascii="Times New Roman" w:hAnsi="Times New Roman"/>
          <w:lang w:val="en-US"/>
        </w:rPr>
      </w:pPr>
      <w:r>
        <w:rPr>
          <w:rFonts w:ascii="Times New Roman" w:hAnsi="Times New Roman"/>
          <w:lang w:val="en-US"/>
        </w:rPr>
        <w:t xml:space="preserve">Table </w:t>
      </w:r>
      <w:r>
        <w:rPr>
          <w:rFonts w:ascii="Times New Roman" w:hAnsi="Times New Roman"/>
          <w:lang w:val="en-US" w:eastAsia="zh-CN"/>
        </w:rPr>
        <w:t>3</w:t>
      </w:r>
      <w:r>
        <w:rPr>
          <w:rFonts w:ascii="Times New Roman" w:hAnsi="Times New Roman"/>
          <w:lang w:val="en-US"/>
        </w:rPr>
        <w:t>: Noise Figure values for the WP5D response in TR 38.803 [24]</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7"/>
        <w:gridCol w:w="2133"/>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Frequency range</w:t>
            </w:r>
          </w:p>
        </w:tc>
        <w:tc>
          <w:tcPr>
            <w:tcW w:w="1796"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 xml:space="preserve">30 GHz </w:t>
            </w:r>
            <w:r>
              <w:rPr>
                <w:rFonts w:ascii="Times New Roman" w:hAnsi="Times New Roman"/>
                <w:sz w:val="20"/>
                <w:lang w:eastAsia="ja-JP"/>
              </w:rPr>
              <w:br w:type="textWrapping"/>
            </w:r>
            <w:r>
              <w:rPr>
                <w:rFonts w:ascii="Times New Roman" w:hAnsi="Times New Roman"/>
                <w:sz w:val="20"/>
                <w:lang w:eastAsia="ja-JP"/>
              </w:rPr>
              <w:t>(24.25 – 33.4 GHz)</w:t>
            </w:r>
          </w:p>
        </w:tc>
        <w:tc>
          <w:tcPr>
            <w:tcW w:w="1741" w:type="dxa"/>
            <w:shd w:val="clear" w:color="auto" w:fill="auto"/>
          </w:tcPr>
          <w:p>
            <w:pPr>
              <w:pStyle w:val="61"/>
              <w:ind w:left="1400" w:leftChars="700"/>
              <w:rPr>
                <w:rFonts w:ascii="Times New Roman" w:hAnsi="Times New Roman"/>
                <w:sz w:val="20"/>
                <w:lang w:eastAsia="ja-JP"/>
              </w:rPr>
            </w:pPr>
            <w:r>
              <w:rPr>
                <w:rFonts w:ascii="Times New Roman" w:hAnsi="Times New Roman"/>
                <w:sz w:val="20"/>
                <w:lang w:eastAsia="ja-JP"/>
              </w:rPr>
              <w:t xml:space="preserve">45GHz </w:t>
            </w:r>
            <w:r>
              <w:rPr>
                <w:rFonts w:ascii="Times New Roman" w:hAnsi="Times New Roman"/>
                <w:sz w:val="20"/>
                <w:lang w:eastAsia="ja-JP"/>
              </w:rPr>
              <w:br w:type="textWrapping"/>
            </w:r>
            <w:r>
              <w:rPr>
                <w:rFonts w:ascii="Times New Roman" w:hAnsi="Times New Roman"/>
                <w:sz w:val="20"/>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62"/>
              <w:ind w:left="1400" w:leftChars="700"/>
              <w:rPr>
                <w:rFonts w:ascii="Times New Roman" w:hAnsi="Times New Roman"/>
                <w:sz w:val="20"/>
                <w:lang w:eastAsia="ja-JP"/>
              </w:rPr>
            </w:pPr>
            <w:r>
              <w:rPr>
                <w:rFonts w:ascii="Times New Roman" w:hAnsi="Times New Roman"/>
                <w:sz w:val="20"/>
                <w:lang w:eastAsia="ja-JP"/>
              </w:rPr>
              <w:t>BS</w:t>
            </w:r>
          </w:p>
        </w:tc>
        <w:tc>
          <w:tcPr>
            <w:tcW w:w="1796" w:type="dxa"/>
            <w:shd w:val="clear" w:color="auto" w:fill="auto"/>
            <w:vAlign w:val="bottom"/>
          </w:tcPr>
          <w:p>
            <w:pPr>
              <w:pStyle w:val="62"/>
              <w:ind w:left="1400" w:leftChars="700"/>
              <w:rPr>
                <w:rFonts w:ascii="Times New Roman" w:hAnsi="Times New Roman"/>
                <w:sz w:val="20"/>
                <w:lang w:eastAsia="ja-JP"/>
              </w:rPr>
            </w:pPr>
            <w:r>
              <w:rPr>
                <w:rFonts w:ascii="Times New Roman" w:hAnsi="Times New Roman"/>
                <w:sz w:val="20"/>
              </w:rPr>
              <w:t>10 dB</w:t>
            </w:r>
          </w:p>
        </w:tc>
        <w:tc>
          <w:tcPr>
            <w:tcW w:w="1741" w:type="dxa"/>
            <w:shd w:val="clear" w:color="auto" w:fill="auto"/>
            <w:vAlign w:val="bottom"/>
          </w:tcPr>
          <w:p>
            <w:pPr>
              <w:pStyle w:val="62"/>
              <w:ind w:left="1400" w:leftChars="700"/>
              <w:rPr>
                <w:rFonts w:ascii="Times New Roman" w:hAnsi="Times New Roman"/>
                <w:sz w:val="20"/>
                <w:lang w:eastAsia="ja-JP"/>
              </w:rPr>
            </w:pPr>
            <w:r>
              <w:rPr>
                <w:rFonts w:ascii="Times New Roman" w:hAnsi="Times New Roman"/>
                <w:sz w:val="20"/>
              </w:rPr>
              <w:t>12 dB</w:t>
            </w:r>
          </w:p>
        </w:tc>
      </w:tr>
    </w:tbl>
    <w:p>
      <w:pPr>
        <w:spacing w:line="259" w:lineRule="auto"/>
      </w:pPr>
    </w:p>
    <w:p>
      <w:pPr>
        <w:pStyle w:val="89"/>
        <w:numPr>
          <w:ilvl w:val="0"/>
          <w:numId w:val="2"/>
        </w:numPr>
        <w:spacing w:line="259" w:lineRule="auto"/>
        <w:ind w:left="720"/>
        <w:rPr>
          <w:szCs w:val="20"/>
        </w:rPr>
      </w:pPr>
      <w:r>
        <w:rPr>
          <w:szCs w:val="20"/>
        </w:rPr>
        <w:t>Agreement:</w:t>
      </w:r>
    </w:p>
    <w:p>
      <w:pPr>
        <w:pStyle w:val="89"/>
        <w:numPr>
          <w:ilvl w:val="1"/>
          <w:numId w:val="2"/>
        </w:numPr>
        <w:spacing w:line="259" w:lineRule="auto"/>
        <w:ind w:left="1440"/>
        <w:rPr>
          <w:szCs w:val="20"/>
          <w:highlight w:val="none"/>
        </w:rPr>
      </w:pPr>
      <w:r>
        <w:rPr>
          <w:szCs w:val="20"/>
          <w:highlight w:val="none"/>
        </w:rPr>
        <w:t>To define the NCR-MT Refsens requirement based on IAB-MT approach;</w:t>
      </w:r>
    </w:p>
    <w:p>
      <w:pPr>
        <w:pStyle w:val="89"/>
        <w:numPr>
          <w:ilvl w:val="0"/>
          <w:numId w:val="4"/>
        </w:numPr>
        <w:spacing w:line="260" w:lineRule="auto"/>
        <w:ind w:left="1600" w:leftChars="800" w:firstLine="400" w:firstLineChars="200"/>
        <w:rPr>
          <w:szCs w:val="20"/>
          <w:highlight w:val="none"/>
        </w:rPr>
      </w:pPr>
      <w:r>
        <w:rPr>
          <w:szCs w:val="20"/>
          <w:highlight w:val="none"/>
        </w:rPr>
        <w:t>To use the proposal 3 as baseline for calculation of power level of Refesens requirement;</w:t>
      </w:r>
    </w:p>
    <w:p>
      <w:pPr>
        <w:pStyle w:val="89"/>
        <w:numPr>
          <w:ilvl w:val="0"/>
          <w:numId w:val="4"/>
        </w:numPr>
        <w:spacing w:line="260" w:lineRule="auto"/>
        <w:ind w:left="1988" w:firstLine="400" w:firstLineChars="200"/>
        <w:rPr>
          <w:szCs w:val="20"/>
          <w:highlight w:val="none"/>
        </w:rPr>
      </w:pPr>
      <w:r>
        <w:rPr>
          <w:szCs w:val="20"/>
          <w:highlight w:val="none"/>
        </w:rPr>
        <w:t>Note: FFS for NF</w:t>
      </w:r>
    </w:p>
    <w:p>
      <w:pPr>
        <w:pStyle w:val="89"/>
        <w:numPr>
          <w:ilvl w:val="0"/>
          <w:numId w:val="4"/>
        </w:numPr>
        <w:spacing w:line="260" w:lineRule="auto"/>
        <w:ind w:left="1600" w:leftChars="800" w:firstLine="400" w:firstLineChars="200"/>
        <w:rPr>
          <w:szCs w:val="20"/>
          <w:highlight w:val="none"/>
        </w:rPr>
      </w:pPr>
      <w:r>
        <w:rPr>
          <w:szCs w:val="20"/>
          <w:highlight w:val="none"/>
        </w:rPr>
        <w:t>For 30kHz and 60kHz FRC, to reuse the existing FRC from TS38.174 Annex A.1</w:t>
      </w:r>
    </w:p>
    <w:p>
      <w:pPr>
        <w:pStyle w:val="89"/>
        <w:numPr>
          <w:ilvl w:val="0"/>
          <w:numId w:val="4"/>
        </w:numPr>
        <w:spacing w:line="260" w:lineRule="auto"/>
        <w:ind w:left="1600" w:leftChars="800" w:firstLine="400" w:firstLineChars="200"/>
        <w:rPr>
          <w:szCs w:val="20"/>
        </w:rPr>
      </w:pPr>
      <w:r>
        <w:rPr>
          <w:szCs w:val="20"/>
          <w:highlight w:val="none"/>
        </w:rPr>
        <w:t xml:space="preserve">For 15kHz FRC, FFS </w:t>
      </w:r>
    </w:p>
    <w:p>
      <w:pPr>
        <w:rPr>
          <w:iCs/>
          <w:u w:val="single"/>
          <w:lang w:val="en-US"/>
        </w:rPr>
      </w:pPr>
      <w:r>
        <w:rPr>
          <w:iCs/>
          <w:u w:val="single"/>
          <w:lang w:val="en-US"/>
        </w:rPr>
        <w:t>Issue 2-5-1: Applicability of TRP and EIRP requirement for NCR-MT (NCR type 1-H, NCR type 1-O and type 2-O)</w:t>
      </w:r>
    </w:p>
    <w:p>
      <w:pPr>
        <w:pStyle w:val="89"/>
        <w:numPr>
          <w:ilvl w:val="0"/>
          <w:numId w:val="2"/>
        </w:numPr>
        <w:spacing w:line="259" w:lineRule="auto"/>
        <w:ind w:left="720"/>
        <w:rPr>
          <w:szCs w:val="20"/>
        </w:rPr>
      </w:pPr>
      <w:r>
        <w:rPr>
          <w:szCs w:val="20"/>
        </w:rPr>
        <w:t>Proposals</w:t>
      </w:r>
    </w:p>
    <w:p>
      <w:pPr>
        <w:pStyle w:val="89"/>
        <w:numPr>
          <w:ilvl w:val="1"/>
          <w:numId w:val="2"/>
        </w:numPr>
        <w:spacing w:line="259" w:lineRule="auto"/>
        <w:ind w:left="1440"/>
        <w:rPr>
          <w:szCs w:val="20"/>
        </w:rPr>
      </w:pPr>
      <w:bookmarkStart w:id="0" w:name="_Toc127430938"/>
      <w:r>
        <w:rPr>
          <w:szCs w:val="20"/>
        </w:rPr>
        <w:t>Proposal 1: For NCR-MT, set requirements on TRP and EIRP accuracy using the BS approach (i.e., same as for IAB-MT)</w:t>
      </w:r>
      <w:bookmarkEnd w:id="0"/>
      <w:r>
        <w:rPr>
          <w:szCs w:val="20"/>
        </w:rPr>
        <w:t xml:space="preserve"> [Ericsson,R4-2301883]</w:t>
      </w:r>
    </w:p>
    <w:p>
      <w:pPr>
        <w:pStyle w:val="89"/>
        <w:numPr>
          <w:ilvl w:val="0"/>
          <w:numId w:val="2"/>
        </w:numPr>
        <w:spacing w:line="259" w:lineRule="auto"/>
        <w:ind w:left="720"/>
        <w:rPr>
          <w:szCs w:val="20"/>
        </w:rPr>
      </w:pPr>
      <w:r>
        <w:rPr>
          <w:szCs w:val="20"/>
        </w:rPr>
        <w:t>Agreemen</w:t>
      </w:r>
      <w:r>
        <w:rPr>
          <w:szCs w:val="20"/>
          <w:highlight w:val="none"/>
        </w:rPr>
        <w:t xml:space="preserve">t: Proposal 1 agreed. </w:t>
      </w:r>
    </w:p>
    <w:p>
      <w:pPr>
        <w:rPr>
          <w:iCs/>
          <w:u w:val="single"/>
          <w:lang w:val="en-US"/>
        </w:rPr>
      </w:pPr>
      <w:r>
        <w:rPr>
          <w:iCs/>
          <w:u w:val="single"/>
          <w:lang w:val="en-US"/>
        </w:rPr>
        <w:t xml:space="preserve">Issue 2-5-2: Applicability of EVM requirement for NCR-MT </w:t>
      </w:r>
    </w:p>
    <w:p>
      <w:pPr>
        <w:pStyle w:val="89"/>
        <w:numPr>
          <w:ilvl w:val="0"/>
          <w:numId w:val="2"/>
        </w:numPr>
        <w:spacing w:line="259" w:lineRule="auto"/>
        <w:ind w:left="720"/>
        <w:rPr>
          <w:szCs w:val="20"/>
        </w:rPr>
      </w:pPr>
      <w:r>
        <w:rPr>
          <w:szCs w:val="20"/>
        </w:rPr>
        <w:t>Proposals</w:t>
      </w:r>
    </w:p>
    <w:p>
      <w:pPr>
        <w:pStyle w:val="89"/>
        <w:numPr>
          <w:ilvl w:val="1"/>
          <w:numId w:val="2"/>
        </w:numPr>
        <w:spacing w:line="259" w:lineRule="auto"/>
        <w:ind w:left="1440"/>
        <w:rPr>
          <w:szCs w:val="20"/>
        </w:rPr>
      </w:pPr>
      <w:r>
        <w:rPr>
          <w:szCs w:val="20"/>
        </w:rPr>
        <w:t>Proposal 1: The repeater EVM and frequency accuracy requirements in the repeater specification are applicable for NCR-FWD only. [Ericsson,R4-2301883]</w:t>
      </w:r>
    </w:p>
    <w:p>
      <w:pPr>
        <w:pStyle w:val="89"/>
        <w:numPr>
          <w:ilvl w:val="1"/>
          <w:numId w:val="2"/>
        </w:numPr>
        <w:spacing w:line="259" w:lineRule="auto"/>
        <w:ind w:left="1440"/>
        <w:rPr>
          <w:szCs w:val="20"/>
          <w:highlight w:val="none"/>
        </w:rPr>
      </w:pPr>
      <w:r>
        <w:rPr>
          <w:szCs w:val="20"/>
          <w:highlight w:val="none"/>
        </w:rPr>
        <w:t>Proposal 2: For the NCR-MT, set requirements on frequency accuracy and EVM using the IAB-MT specification as a reference. [Ericsson,R4-2301883]</w:t>
      </w:r>
    </w:p>
    <w:p>
      <w:pPr>
        <w:pStyle w:val="89"/>
        <w:numPr>
          <w:ilvl w:val="0"/>
          <w:numId w:val="2"/>
        </w:numPr>
        <w:spacing w:line="259" w:lineRule="auto"/>
        <w:ind w:left="720"/>
        <w:rPr>
          <w:szCs w:val="20"/>
          <w:highlight w:val="none"/>
        </w:rPr>
      </w:pPr>
      <w:r>
        <w:rPr>
          <w:szCs w:val="20"/>
          <w:highlight w:val="none"/>
        </w:rPr>
        <w:t xml:space="preserve">Agreement: Proposal 1 and proposal2 agreed. </w:t>
      </w:r>
    </w:p>
    <w:p>
      <w:pPr>
        <w:rPr>
          <w:iCs/>
          <w:u w:val="single"/>
          <w:lang w:val="en-US"/>
        </w:rPr>
      </w:pPr>
      <w:r>
        <w:rPr>
          <w:iCs/>
          <w:u w:val="single"/>
          <w:lang w:val="en-US"/>
        </w:rPr>
        <w:t>Issue 2-5-3: Applicability of OOB gain, ACRR and unwanted emssion limit for NCR-MT</w:t>
      </w:r>
    </w:p>
    <w:p>
      <w:pPr>
        <w:pStyle w:val="89"/>
        <w:numPr>
          <w:ilvl w:val="0"/>
          <w:numId w:val="2"/>
        </w:numPr>
        <w:spacing w:line="259" w:lineRule="auto"/>
        <w:ind w:left="720"/>
        <w:rPr>
          <w:szCs w:val="20"/>
          <w:highlight w:val="none"/>
        </w:rPr>
      </w:pPr>
      <w:r>
        <w:rPr>
          <w:szCs w:val="20"/>
        </w:rPr>
        <w:t>P</w:t>
      </w:r>
      <w:r>
        <w:rPr>
          <w:szCs w:val="20"/>
          <w:highlight w:val="none"/>
        </w:rPr>
        <w:t>roposals</w:t>
      </w:r>
    </w:p>
    <w:p>
      <w:pPr>
        <w:pStyle w:val="89"/>
        <w:numPr>
          <w:ilvl w:val="1"/>
          <w:numId w:val="2"/>
        </w:numPr>
        <w:spacing w:line="259" w:lineRule="auto"/>
        <w:ind w:left="1440"/>
        <w:rPr>
          <w:szCs w:val="20"/>
          <w:highlight w:val="none"/>
        </w:rPr>
      </w:pPr>
      <w:r>
        <w:rPr>
          <w:szCs w:val="20"/>
          <w:highlight w:val="none"/>
        </w:rPr>
        <w:t>Proposal 1: Requirements on OOB gain and ACRR should be applied for NCR-FWD only [Ericsson, R4-2301883]</w:t>
      </w:r>
    </w:p>
    <w:p>
      <w:pPr>
        <w:pStyle w:val="89"/>
        <w:numPr>
          <w:ilvl w:val="0"/>
          <w:numId w:val="2"/>
        </w:numPr>
        <w:spacing w:line="259" w:lineRule="auto"/>
        <w:ind w:left="720"/>
        <w:rPr>
          <w:szCs w:val="20"/>
          <w:highlight w:val="none"/>
        </w:rPr>
      </w:pPr>
      <w:r>
        <w:rPr>
          <w:szCs w:val="20"/>
          <w:highlight w:val="none"/>
        </w:rPr>
        <w:t>Agreement: Proposal 1 agreed</w:t>
      </w:r>
    </w:p>
    <w:p>
      <w:pPr>
        <w:rPr>
          <w:iCs/>
          <w:u w:val="single"/>
          <w:lang w:val="en-US"/>
        </w:rPr>
      </w:pPr>
      <w:r>
        <w:rPr>
          <w:iCs/>
          <w:u w:val="single"/>
          <w:lang w:val="en-US"/>
        </w:rPr>
        <w:t>Issue 2-5-4: Applicability of input intermodualtion requirement for NCR-MT</w:t>
      </w:r>
    </w:p>
    <w:p>
      <w:pPr>
        <w:pStyle w:val="89"/>
        <w:numPr>
          <w:ilvl w:val="0"/>
          <w:numId w:val="2"/>
        </w:numPr>
        <w:spacing w:line="259" w:lineRule="auto"/>
        <w:ind w:left="720"/>
        <w:rPr>
          <w:szCs w:val="20"/>
        </w:rPr>
      </w:pPr>
      <w:r>
        <w:rPr>
          <w:szCs w:val="20"/>
        </w:rPr>
        <w:t>Proposals</w:t>
      </w:r>
    </w:p>
    <w:p>
      <w:pPr>
        <w:pStyle w:val="89"/>
        <w:numPr>
          <w:ilvl w:val="1"/>
          <w:numId w:val="2"/>
        </w:numPr>
        <w:spacing w:line="259" w:lineRule="auto"/>
        <w:ind w:left="1440"/>
        <w:rPr>
          <w:szCs w:val="20"/>
          <w:highlight w:val="none"/>
        </w:rPr>
      </w:pPr>
      <w:r>
        <w:rPr>
          <w:szCs w:val="20"/>
          <w:highlight w:val="none"/>
        </w:rPr>
        <w:t>Proposal 1: Input intermodulation requirements should be applied for NCR-FWD only. [Ericsson,R4-2301883]</w:t>
      </w:r>
    </w:p>
    <w:p>
      <w:pPr>
        <w:pStyle w:val="89"/>
        <w:numPr>
          <w:ilvl w:val="0"/>
          <w:numId w:val="2"/>
        </w:numPr>
        <w:spacing w:line="259" w:lineRule="auto"/>
        <w:ind w:left="720"/>
        <w:rPr>
          <w:szCs w:val="20"/>
          <w:highlight w:val="none"/>
        </w:rPr>
      </w:pPr>
      <w:r>
        <w:rPr>
          <w:szCs w:val="20"/>
          <w:highlight w:val="none"/>
        </w:rPr>
        <w:t>Agreement: Proposal 1 agreed.</w:t>
      </w:r>
    </w:p>
    <w:p>
      <w:pPr>
        <w:rPr>
          <w:lang w:val="en-US" w:eastAsia="zh-CN"/>
        </w:rPr>
      </w:pPr>
    </w:p>
    <w:sectPr>
      <w:footnotePr>
        <w:numRestart w:val="eachSect"/>
      </w:footnotePr>
      <w:pgSz w:w="16840" w:h="11907" w:orient="landscape"/>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tentative="0">
      <w:start w:val="1"/>
      <w:numFmt w:val="bullet"/>
      <w:lvlText w:val="‒"/>
      <w:lvlJc w:val="left"/>
      <w:pPr>
        <w:ind w:left="420" w:hanging="420"/>
      </w:pPr>
      <w:rPr>
        <w:rFonts w:hint="default" w:ascii="Arial" w:hAnsi="Arial" w:cs="Arial"/>
      </w:rPr>
    </w:lvl>
  </w:abstractNum>
  <w:abstractNum w:abstractNumId="1">
    <w:nsid w:val="AD3FF90D"/>
    <w:multiLevelType w:val="singleLevel"/>
    <w:tmpl w:val="AD3FF90D"/>
    <w:lvl w:ilvl="0" w:tentative="0">
      <w:start w:val="1"/>
      <w:numFmt w:val="bullet"/>
      <w:lvlText w:val="‒"/>
      <w:lvlJc w:val="left"/>
      <w:pPr>
        <w:ind w:left="420" w:hanging="420"/>
      </w:pPr>
      <w:rPr>
        <w:rFonts w:hint="default" w:ascii="Arial" w:hAnsi="Arial" w:cs="Arial"/>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o"/>
      <w:lvlJc w:val="left"/>
      <w:pPr>
        <w:ind w:left="3096" w:hanging="360"/>
      </w:pPr>
      <w:rPr>
        <w:rFonts w:hint="default" w:ascii="Courier New" w:hAnsi="Courier New" w:cs="Courier New"/>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1"/>
  <w:bordersDoNotSurroundFooter w:val="1"/>
  <w:documentProtection w:enforcement="0"/>
  <w:defaultTabStop w:val="420"/>
  <w:hyphenationZone w:val="425"/>
  <w:drawingGridHorizontalSpacing w:val="10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689"/>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C3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32ED"/>
    <w:rsid w:val="001A3878"/>
    <w:rsid w:val="001A4100"/>
    <w:rsid w:val="001A49E4"/>
    <w:rsid w:val="001A4FA5"/>
    <w:rsid w:val="001A637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8B1"/>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AA"/>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4C1"/>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75D"/>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40"/>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D98"/>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40"/>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AFA"/>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0EF"/>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2F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2CF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FD4"/>
    <w:rsid w:val="00A53700"/>
    <w:rsid w:val="00A54657"/>
    <w:rsid w:val="00A5473D"/>
    <w:rsid w:val="00A557EE"/>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97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156"/>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8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6DD"/>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917"/>
    <w:rsid w:val="00CA3062"/>
    <w:rsid w:val="00CA4414"/>
    <w:rsid w:val="00CA45C4"/>
    <w:rsid w:val="00CA4FED"/>
    <w:rsid w:val="00CA516E"/>
    <w:rsid w:val="00CA55AB"/>
    <w:rsid w:val="00CA5CD6"/>
    <w:rsid w:val="00CA6727"/>
    <w:rsid w:val="00CA75D9"/>
    <w:rsid w:val="00CA7991"/>
    <w:rsid w:val="00CA7C6A"/>
    <w:rsid w:val="00CB0A53"/>
    <w:rsid w:val="00CB0ACE"/>
    <w:rsid w:val="00CB1FBD"/>
    <w:rsid w:val="00CB24E5"/>
    <w:rsid w:val="00CB2DE8"/>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8B1"/>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A8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53B"/>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E35"/>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5AA"/>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5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60D"/>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473"/>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7E9"/>
    <w:rsid w:val="00EA3D2E"/>
    <w:rsid w:val="00EA5C68"/>
    <w:rsid w:val="00EA60C8"/>
    <w:rsid w:val="00EA7E19"/>
    <w:rsid w:val="00EA7FD1"/>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2E70"/>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11B17D4"/>
    <w:rsid w:val="01A56FAB"/>
    <w:rsid w:val="01A903B0"/>
    <w:rsid w:val="02207A05"/>
    <w:rsid w:val="023114DC"/>
    <w:rsid w:val="029401D0"/>
    <w:rsid w:val="02C534F4"/>
    <w:rsid w:val="02C75875"/>
    <w:rsid w:val="02D36FFE"/>
    <w:rsid w:val="033676B5"/>
    <w:rsid w:val="03506877"/>
    <w:rsid w:val="0360625D"/>
    <w:rsid w:val="038B40E5"/>
    <w:rsid w:val="039B187E"/>
    <w:rsid w:val="03A23123"/>
    <w:rsid w:val="03A80371"/>
    <w:rsid w:val="044C4AFE"/>
    <w:rsid w:val="04573544"/>
    <w:rsid w:val="04732322"/>
    <w:rsid w:val="04A33028"/>
    <w:rsid w:val="04A8786A"/>
    <w:rsid w:val="04C21305"/>
    <w:rsid w:val="05947188"/>
    <w:rsid w:val="05D52A67"/>
    <w:rsid w:val="063467E5"/>
    <w:rsid w:val="067D2939"/>
    <w:rsid w:val="067E7AFF"/>
    <w:rsid w:val="072C24E3"/>
    <w:rsid w:val="080C48EF"/>
    <w:rsid w:val="081852B6"/>
    <w:rsid w:val="090F1D8C"/>
    <w:rsid w:val="096C5763"/>
    <w:rsid w:val="0A467BD4"/>
    <w:rsid w:val="0A7A3A6F"/>
    <w:rsid w:val="0AB35C28"/>
    <w:rsid w:val="0AC70E4D"/>
    <w:rsid w:val="0B1B407F"/>
    <w:rsid w:val="0BD874FF"/>
    <w:rsid w:val="0C9639D1"/>
    <w:rsid w:val="0D6F3147"/>
    <w:rsid w:val="0DA4580A"/>
    <w:rsid w:val="0E7C32F1"/>
    <w:rsid w:val="0E891300"/>
    <w:rsid w:val="0F302047"/>
    <w:rsid w:val="0F9A6DFD"/>
    <w:rsid w:val="0FC21761"/>
    <w:rsid w:val="0FFD2FDA"/>
    <w:rsid w:val="10370C76"/>
    <w:rsid w:val="10502D2C"/>
    <w:rsid w:val="114B0315"/>
    <w:rsid w:val="114F50F0"/>
    <w:rsid w:val="11513D9D"/>
    <w:rsid w:val="11A056A8"/>
    <w:rsid w:val="11A669BC"/>
    <w:rsid w:val="12184B7C"/>
    <w:rsid w:val="12562F4F"/>
    <w:rsid w:val="12A467FF"/>
    <w:rsid w:val="12E62365"/>
    <w:rsid w:val="131A32F7"/>
    <w:rsid w:val="13303256"/>
    <w:rsid w:val="141C5906"/>
    <w:rsid w:val="142D2518"/>
    <w:rsid w:val="14304C8C"/>
    <w:rsid w:val="14774D1A"/>
    <w:rsid w:val="148131EC"/>
    <w:rsid w:val="14E9666F"/>
    <w:rsid w:val="155D054E"/>
    <w:rsid w:val="15B6151F"/>
    <w:rsid w:val="15B67958"/>
    <w:rsid w:val="15ED550A"/>
    <w:rsid w:val="1638470C"/>
    <w:rsid w:val="16A035E6"/>
    <w:rsid w:val="16B769EB"/>
    <w:rsid w:val="17307051"/>
    <w:rsid w:val="17637892"/>
    <w:rsid w:val="18217321"/>
    <w:rsid w:val="18615A28"/>
    <w:rsid w:val="1886040C"/>
    <w:rsid w:val="18B25C57"/>
    <w:rsid w:val="18B451EE"/>
    <w:rsid w:val="18E04972"/>
    <w:rsid w:val="19337DCC"/>
    <w:rsid w:val="19453C57"/>
    <w:rsid w:val="1A1524E0"/>
    <w:rsid w:val="1AD15F16"/>
    <w:rsid w:val="1B2D79CD"/>
    <w:rsid w:val="1C067DE7"/>
    <w:rsid w:val="1C91599E"/>
    <w:rsid w:val="1C9408FD"/>
    <w:rsid w:val="1D1835B6"/>
    <w:rsid w:val="1D3F210D"/>
    <w:rsid w:val="1D741944"/>
    <w:rsid w:val="1D9416B2"/>
    <w:rsid w:val="1EC919BF"/>
    <w:rsid w:val="1F4F6FC1"/>
    <w:rsid w:val="1F747171"/>
    <w:rsid w:val="1F9B19AE"/>
    <w:rsid w:val="1FB73AAB"/>
    <w:rsid w:val="20153BA1"/>
    <w:rsid w:val="20501486"/>
    <w:rsid w:val="20891E56"/>
    <w:rsid w:val="2148239E"/>
    <w:rsid w:val="216653B0"/>
    <w:rsid w:val="21B413D6"/>
    <w:rsid w:val="22202406"/>
    <w:rsid w:val="22956388"/>
    <w:rsid w:val="22A1313E"/>
    <w:rsid w:val="22DE2D43"/>
    <w:rsid w:val="23367330"/>
    <w:rsid w:val="234931CD"/>
    <w:rsid w:val="23792988"/>
    <w:rsid w:val="238508AF"/>
    <w:rsid w:val="24383C23"/>
    <w:rsid w:val="24713EA7"/>
    <w:rsid w:val="24931E5E"/>
    <w:rsid w:val="24E710A5"/>
    <w:rsid w:val="24FD0C42"/>
    <w:rsid w:val="25001F1C"/>
    <w:rsid w:val="253B23BF"/>
    <w:rsid w:val="25E124ED"/>
    <w:rsid w:val="262A0FC5"/>
    <w:rsid w:val="267E0B13"/>
    <w:rsid w:val="27542B52"/>
    <w:rsid w:val="275814A9"/>
    <w:rsid w:val="2759520B"/>
    <w:rsid w:val="28031259"/>
    <w:rsid w:val="28151B92"/>
    <w:rsid w:val="29850FFF"/>
    <w:rsid w:val="29F7110B"/>
    <w:rsid w:val="2A152875"/>
    <w:rsid w:val="2ABC2482"/>
    <w:rsid w:val="2AE62C95"/>
    <w:rsid w:val="2AE91593"/>
    <w:rsid w:val="2B03249C"/>
    <w:rsid w:val="2B322E2E"/>
    <w:rsid w:val="2B637355"/>
    <w:rsid w:val="2BB03F73"/>
    <w:rsid w:val="2BF5313F"/>
    <w:rsid w:val="2C4E0F14"/>
    <w:rsid w:val="2C660BAD"/>
    <w:rsid w:val="2CD7184A"/>
    <w:rsid w:val="2E2339D3"/>
    <w:rsid w:val="2E46730F"/>
    <w:rsid w:val="2E5C466B"/>
    <w:rsid w:val="2E643F62"/>
    <w:rsid w:val="2E9E0075"/>
    <w:rsid w:val="2EB86A5A"/>
    <w:rsid w:val="2F5062C0"/>
    <w:rsid w:val="2F8B1999"/>
    <w:rsid w:val="301E7FEB"/>
    <w:rsid w:val="302442D9"/>
    <w:rsid w:val="303460F0"/>
    <w:rsid w:val="305808D2"/>
    <w:rsid w:val="31AE0F7B"/>
    <w:rsid w:val="32D73973"/>
    <w:rsid w:val="32F644CA"/>
    <w:rsid w:val="33024B42"/>
    <w:rsid w:val="337C596E"/>
    <w:rsid w:val="33EA4076"/>
    <w:rsid w:val="34211DC3"/>
    <w:rsid w:val="34457C7B"/>
    <w:rsid w:val="349011AD"/>
    <w:rsid w:val="34AB325A"/>
    <w:rsid w:val="34E838FF"/>
    <w:rsid w:val="35CE36F4"/>
    <w:rsid w:val="35F6643E"/>
    <w:rsid w:val="36425C10"/>
    <w:rsid w:val="36545850"/>
    <w:rsid w:val="365509D9"/>
    <w:rsid w:val="36E376B5"/>
    <w:rsid w:val="374851A2"/>
    <w:rsid w:val="38114253"/>
    <w:rsid w:val="38E40EC7"/>
    <w:rsid w:val="390B0FA2"/>
    <w:rsid w:val="39273A3C"/>
    <w:rsid w:val="397B2105"/>
    <w:rsid w:val="39992131"/>
    <w:rsid w:val="399D0C47"/>
    <w:rsid w:val="39F76E63"/>
    <w:rsid w:val="3A141F6C"/>
    <w:rsid w:val="3A165225"/>
    <w:rsid w:val="3A3A37F9"/>
    <w:rsid w:val="3A4D6569"/>
    <w:rsid w:val="3A7C2502"/>
    <w:rsid w:val="3AA052FB"/>
    <w:rsid w:val="3AC12CC1"/>
    <w:rsid w:val="3B0F4575"/>
    <w:rsid w:val="3B447DC6"/>
    <w:rsid w:val="3BA50EFF"/>
    <w:rsid w:val="3C4A55E3"/>
    <w:rsid w:val="3C916A88"/>
    <w:rsid w:val="3CA95CFB"/>
    <w:rsid w:val="3D604A2D"/>
    <w:rsid w:val="3D636270"/>
    <w:rsid w:val="3D895406"/>
    <w:rsid w:val="3D946AC2"/>
    <w:rsid w:val="3DAB0005"/>
    <w:rsid w:val="3DD526CA"/>
    <w:rsid w:val="3E217D33"/>
    <w:rsid w:val="3EF356E7"/>
    <w:rsid w:val="3F5B2C54"/>
    <w:rsid w:val="401B2443"/>
    <w:rsid w:val="410913DA"/>
    <w:rsid w:val="41542A12"/>
    <w:rsid w:val="41940949"/>
    <w:rsid w:val="41D506BB"/>
    <w:rsid w:val="41EF7F1F"/>
    <w:rsid w:val="41F12469"/>
    <w:rsid w:val="43205793"/>
    <w:rsid w:val="4335357A"/>
    <w:rsid w:val="433E6477"/>
    <w:rsid w:val="43F438D8"/>
    <w:rsid w:val="44302DF3"/>
    <w:rsid w:val="44B40D3D"/>
    <w:rsid w:val="450B6A79"/>
    <w:rsid w:val="45B17F93"/>
    <w:rsid w:val="45DA3853"/>
    <w:rsid w:val="45FA07D0"/>
    <w:rsid w:val="467D52CE"/>
    <w:rsid w:val="46917266"/>
    <w:rsid w:val="46957A6A"/>
    <w:rsid w:val="47056010"/>
    <w:rsid w:val="473A356C"/>
    <w:rsid w:val="474A6A3B"/>
    <w:rsid w:val="48297809"/>
    <w:rsid w:val="483B1ADE"/>
    <w:rsid w:val="486A7EDB"/>
    <w:rsid w:val="48FE69A5"/>
    <w:rsid w:val="4930333B"/>
    <w:rsid w:val="49724F29"/>
    <w:rsid w:val="49934D61"/>
    <w:rsid w:val="4B9C56DF"/>
    <w:rsid w:val="4BB12379"/>
    <w:rsid w:val="4BF837D2"/>
    <w:rsid w:val="4BFD338A"/>
    <w:rsid w:val="4C001284"/>
    <w:rsid w:val="4C401BFB"/>
    <w:rsid w:val="4CC40142"/>
    <w:rsid w:val="4D3A3368"/>
    <w:rsid w:val="4D661BD9"/>
    <w:rsid w:val="4DF23AA7"/>
    <w:rsid w:val="4E0B7D64"/>
    <w:rsid w:val="4E3C6CFA"/>
    <w:rsid w:val="4EB57F2A"/>
    <w:rsid w:val="4F441E2A"/>
    <w:rsid w:val="4F742231"/>
    <w:rsid w:val="4F85712F"/>
    <w:rsid w:val="4F9B779E"/>
    <w:rsid w:val="4FA10E05"/>
    <w:rsid w:val="5037224D"/>
    <w:rsid w:val="50912F82"/>
    <w:rsid w:val="50D40D95"/>
    <w:rsid w:val="51832F88"/>
    <w:rsid w:val="518F5CDD"/>
    <w:rsid w:val="51D51059"/>
    <w:rsid w:val="521238CB"/>
    <w:rsid w:val="52A60C1E"/>
    <w:rsid w:val="52C15DB6"/>
    <w:rsid w:val="53517A6B"/>
    <w:rsid w:val="53956DC5"/>
    <w:rsid w:val="53A03BFA"/>
    <w:rsid w:val="53A52556"/>
    <w:rsid w:val="53A96824"/>
    <w:rsid w:val="54A605D4"/>
    <w:rsid w:val="54D6764B"/>
    <w:rsid w:val="54F01EEF"/>
    <w:rsid w:val="55387FCD"/>
    <w:rsid w:val="55940B01"/>
    <w:rsid w:val="55BF6693"/>
    <w:rsid w:val="562B6CEE"/>
    <w:rsid w:val="568E6375"/>
    <w:rsid w:val="56BC1ECE"/>
    <w:rsid w:val="57300C98"/>
    <w:rsid w:val="57431A44"/>
    <w:rsid w:val="5751351F"/>
    <w:rsid w:val="57F81E57"/>
    <w:rsid w:val="58505756"/>
    <w:rsid w:val="5895248C"/>
    <w:rsid w:val="58A70901"/>
    <w:rsid w:val="58E27CE2"/>
    <w:rsid w:val="590E2EF9"/>
    <w:rsid w:val="59722142"/>
    <w:rsid w:val="599A3124"/>
    <w:rsid w:val="59C50A90"/>
    <w:rsid w:val="5A081611"/>
    <w:rsid w:val="5A7B667C"/>
    <w:rsid w:val="5A9C15E1"/>
    <w:rsid w:val="5AB318EC"/>
    <w:rsid w:val="5CA21F53"/>
    <w:rsid w:val="5CFC79C1"/>
    <w:rsid w:val="5D166FA1"/>
    <w:rsid w:val="5D64614D"/>
    <w:rsid w:val="5D6F0A1C"/>
    <w:rsid w:val="5ED955F8"/>
    <w:rsid w:val="5F317902"/>
    <w:rsid w:val="5F645C40"/>
    <w:rsid w:val="6077058D"/>
    <w:rsid w:val="608D1FBB"/>
    <w:rsid w:val="60D661AE"/>
    <w:rsid w:val="614B0980"/>
    <w:rsid w:val="61B665C4"/>
    <w:rsid w:val="624108BA"/>
    <w:rsid w:val="62F31145"/>
    <w:rsid w:val="6342227E"/>
    <w:rsid w:val="63AC0B80"/>
    <w:rsid w:val="640D4579"/>
    <w:rsid w:val="641E03D0"/>
    <w:rsid w:val="645A59DA"/>
    <w:rsid w:val="64F1679F"/>
    <w:rsid w:val="65240B33"/>
    <w:rsid w:val="6535386A"/>
    <w:rsid w:val="656E1EA5"/>
    <w:rsid w:val="66A41C30"/>
    <w:rsid w:val="678B4983"/>
    <w:rsid w:val="67E003A2"/>
    <w:rsid w:val="6812143E"/>
    <w:rsid w:val="68373100"/>
    <w:rsid w:val="68960123"/>
    <w:rsid w:val="68985CF0"/>
    <w:rsid w:val="68CD05A2"/>
    <w:rsid w:val="692C67D9"/>
    <w:rsid w:val="69EF54FA"/>
    <w:rsid w:val="6AC64296"/>
    <w:rsid w:val="6B1113EA"/>
    <w:rsid w:val="6B291AC2"/>
    <w:rsid w:val="6B47421F"/>
    <w:rsid w:val="6BAD3C5D"/>
    <w:rsid w:val="6BCD1F66"/>
    <w:rsid w:val="6BD22D10"/>
    <w:rsid w:val="6C0D5614"/>
    <w:rsid w:val="6C1E5D41"/>
    <w:rsid w:val="6C4D0EE4"/>
    <w:rsid w:val="6C5E4D95"/>
    <w:rsid w:val="6C64054F"/>
    <w:rsid w:val="6CBA2E1D"/>
    <w:rsid w:val="6D7E311D"/>
    <w:rsid w:val="6DBB2DC6"/>
    <w:rsid w:val="6E675472"/>
    <w:rsid w:val="6E7B4B6C"/>
    <w:rsid w:val="6EBA4107"/>
    <w:rsid w:val="6F0A3EB4"/>
    <w:rsid w:val="6F21030C"/>
    <w:rsid w:val="6F8901FC"/>
    <w:rsid w:val="6F8D2E83"/>
    <w:rsid w:val="6FF47C03"/>
    <w:rsid w:val="70025C90"/>
    <w:rsid w:val="702C38D4"/>
    <w:rsid w:val="70C608BE"/>
    <w:rsid w:val="712F05F8"/>
    <w:rsid w:val="7159098D"/>
    <w:rsid w:val="71652EE0"/>
    <w:rsid w:val="71996A62"/>
    <w:rsid w:val="71C550FA"/>
    <w:rsid w:val="72746F41"/>
    <w:rsid w:val="731B117A"/>
    <w:rsid w:val="73E92511"/>
    <w:rsid w:val="740E1865"/>
    <w:rsid w:val="74453431"/>
    <w:rsid w:val="74600BBC"/>
    <w:rsid w:val="7480655E"/>
    <w:rsid w:val="74B963D7"/>
    <w:rsid w:val="75532172"/>
    <w:rsid w:val="756537CF"/>
    <w:rsid w:val="75A04E0F"/>
    <w:rsid w:val="75BD0535"/>
    <w:rsid w:val="760D3446"/>
    <w:rsid w:val="76237E13"/>
    <w:rsid w:val="763C35C2"/>
    <w:rsid w:val="76816645"/>
    <w:rsid w:val="76843750"/>
    <w:rsid w:val="76913F70"/>
    <w:rsid w:val="771C1592"/>
    <w:rsid w:val="774F4848"/>
    <w:rsid w:val="778575B4"/>
    <w:rsid w:val="7797669F"/>
    <w:rsid w:val="77C07083"/>
    <w:rsid w:val="77D671B1"/>
    <w:rsid w:val="7867307F"/>
    <w:rsid w:val="78881741"/>
    <w:rsid w:val="78A70FCA"/>
    <w:rsid w:val="78EA5CDF"/>
    <w:rsid w:val="79635F91"/>
    <w:rsid w:val="796631F3"/>
    <w:rsid w:val="79C97DAC"/>
    <w:rsid w:val="79EA53E1"/>
    <w:rsid w:val="79EF3A9F"/>
    <w:rsid w:val="7A0B60B0"/>
    <w:rsid w:val="7A4F45D9"/>
    <w:rsid w:val="7A515AE3"/>
    <w:rsid w:val="7A634335"/>
    <w:rsid w:val="7A9A10AC"/>
    <w:rsid w:val="7B154E9F"/>
    <w:rsid w:val="7B7F6994"/>
    <w:rsid w:val="7B9E0993"/>
    <w:rsid w:val="7BF12B0C"/>
    <w:rsid w:val="7C1B749B"/>
    <w:rsid w:val="7C221609"/>
    <w:rsid w:val="7CF746F0"/>
    <w:rsid w:val="7D190D9F"/>
    <w:rsid w:val="7D417001"/>
    <w:rsid w:val="7D7A6B81"/>
    <w:rsid w:val="7D8037CA"/>
    <w:rsid w:val="7E0C6802"/>
    <w:rsid w:val="7E122E21"/>
    <w:rsid w:val="7E5C3A73"/>
    <w:rsid w:val="7EDF6B91"/>
    <w:rsid w:val="7EFE6536"/>
    <w:rsid w:val="7F2B4B49"/>
    <w:rsid w:val="7F9D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en-GB" w:eastAsia="en-US" w:bidi="ar-SA"/>
    </w:rPr>
  </w:style>
  <w:style w:type="paragraph" w:styleId="3">
    <w:name w:val="heading 2"/>
    <w:basedOn w:val="2"/>
    <w:next w:val="1"/>
    <w:link w:val="91"/>
    <w:qFormat/>
    <w:uiPriority w:val="0"/>
    <w:pPr>
      <w:numPr>
        <w:ilvl w:val="1"/>
      </w:numPr>
      <w:pBdr>
        <w:top w:val="none" w:color="auto" w:sz="0" w:space="0"/>
      </w:pBdr>
      <w:spacing w:before="180"/>
      <w:outlineLvl w:val="1"/>
    </w:pPr>
    <w:rPr>
      <w:sz w:val="32"/>
    </w:rPr>
  </w:style>
  <w:style w:type="paragraph" w:styleId="4">
    <w:name w:val="heading 3"/>
    <w:basedOn w:val="3"/>
    <w:next w:val="1"/>
    <w:link w:val="64"/>
    <w:qFormat/>
    <w:uiPriority w:val="0"/>
    <w:pPr>
      <w:numPr>
        <w:ilvl w:val="2"/>
      </w:numPr>
      <w:spacing w:before="120"/>
      <w:outlineLvl w:val="2"/>
    </w:pPr>
    <w:rPr>
      <w:sz w:val="28"/>
    </w:rPr>
  </w:style>
  <w:style w:type="paragraph" w:styleId="5">
    <w:name w:val="heading 4"/>
    <w:basedOn w:val="4"/>
    <w:next w:val="1"/>
    <w:link w:val="92"/>
    <w:qFormat/>
    <w:uiPriority w:val="0"/>
    <w:pPr>
      <w:numPr>
        <w:ilvl w:val="3"/>
      </w:numPr>
      <w:outlineLvl w:val="3"/>
    </w:pPr>
    <w:rPr>
      <w:sz w:val="24"/>
    </w:rPr>
  </w:style>
  <w:style w:type="paragraph" w:styleId="6">
    <w:name w:val="heading 5"/>
    <w:basedOn w:val="5"/>
    <w:next w:val="1"/>
    <w:link w:val="93"/>
    <w:qFormat/>
    <w:uiPriority w:val="0"/>
    <w:pPr>
      <w:numPr>
        <w:ilvl w:val="4"/>
      </w:numPr>
      <w:outlineLvl w:val="4"/>
    </w:pPr>
    <w:rPr>
      <w:sz w:val="22"/>
    </w:rPr>
  </w:style>
  <w:style w:type="paragraph" w:styleId="7">
    <w:name w:val="heading 6"/>
    <w:basedOn w:val="1"/>
    <w:next w:val="1"/>
    <w:link w:val="69"/>
    <w:qFormat/>
    <w:uiPriority w:val="0"/>
    <w:pPr>
      <w:keepNext/>
      <w:keepLines/>
      <w:numPr>
        <w:ilvl w:val="5"/>
        <w:numId w:val="1"/>
      </w:numPr>
      <w:spacing w:before="120"/>
      <w:outlineLvl w:val="5"/>
    </w:pPr>
    <w:rPr>
      <w:rFonts w:ascii="Arial" w:hAnsi="Arial"/>
    </w:rPr>
  </w:style>
  <w:style w:type="paragraph" w:styleId="8">
    <w:name w:val="heading 7"/>
    <w:basedOn w:val="1"/>
    <w:next w:val="1"/>
    <w:link w:val="66"/>
    <w:qFormat/>
    <w:uiPriority w:val="0"/>
    <w:pPr>
      <w:keepNext/>
      <w:keepLines/>
      <w:numPr>
        <w:ilvl w:val="6"/>
        <w:numId w:val="1"/>
      </w:numPr>
      <w:spacing w:before="120"/>
      <w:outlineLvl w:val="6"/>
    </w:pPr>
    <w:rPr>
      <w:rFonts w:ascii="Arial" w:hAnsi="Arial"/>
    </w:rPr>
  </w:style>
  <w:style w:type="paragraph" w:styleId="9">
    <w:name w:val="heading 8"/>
    <w:basedOn w:val="2"/>
    <w:next w:val="1"/>
    <w:link w:val="67"/>
    <w:qFormat/>
    <w:uiPriority w:val="0"/>
    <w:pPr>
      <w:numPr>
        <w:ilvl w:val="7"/>
      </w:numPr>
      <w:outlineLvl w:val="7"/>
    </w:pPr>
  </w:style>
  <w:style w:type="paragraph" w:styleId="10">
    <w:name w:val="heading 9"/>
    <w:basedOn w:val="9"/>
    <w:next w:val="1"/>
    <w:link w:val="70"/>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11"/>
    <w:qFormat/>
    <w:uiPriority w:val="0"/>
    <w:pPr>
      <w:autoSpaceDE w:val="0"/>
      <w:autoSpaceDN w:val="0"/>
      <w:adjustRightInd w:val="0"/>
      <w:snapToGrid w:val="0"/>
      <w:spacing w:after="120"/>
      <w:jc w:val="center"/>
    </w:pPr>
    <w:rPr>
      <w:b/>
      <w:bCs/>
      <w:lang w:val="en-US"/>
    </w:rPr>
  </w:style>
  <w:style w:type="paragraph" w:styleId="28">
    <w:name w:val="Document Map"/>
    <w:basedOn w:val="1"/>
    <w:link w:val="68"/>
    <w:unhideWhenUsed/>
    <w:qFormat/>
    <w:uiPriority w:val="0"/>
    <w:rPr>
      <w:rFonts w:ascii="宋体"/>
      <w:sz w:val="18"/>
      <w:szCs w:val="18"/>
    </w:rPr>
  </w:style>
  <w:style w:type="paragraph" w:styleId="29">
    <w:name w:val="annotation text"/>
    <w:basedOn w:val="1"/>
    <w:link w:val="103"/>
    <w:qFormat/>
    <w:uiPriority w:val="99"/>
  </w:style>
  <w:style w:type="paragraph" w:styleId="30">
    <w:name w:val="Body Text"/>
    <w:basedOn w:val="1"/>
    <w:link w:val="82"/>
    <w:qFormat/>
    <w:uiPriority w:val="0"/>
  </w:style>
  <w:style w:type="paragraph" w:styleId="31">
    <w:name w:val="Plain Text"/>
    <w:basedOn w:val="1"/>
    <w:link w:val="104"/>
    <w:qFormat/>
    <w:uiPriority w:val="99"/>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0"/>
    <w:pPr>
      <w:spacing w:before="180"/>
      <w:ind w:left="2693" w:hanging="2693"/>
    </w:pPr>
    <w:rPr>
      <w:b/>
    </w:rPr>
  </w:style>
  <w:style w:type="paragraph" w:styleId="34">
    <w:name w:val="Date"/>
    <w:basedOn w:val="1"/>
    <w:next w:val="1"/>
    <w:link w:val="101"/>
    <w:unhideWhenUsed/>
    <w:qFormat/>
    <w:uiPriority w:val="99"/>
    <w:pPr>
      <w:ind w:left="100" w:leftChars="2500"/>
    </w:pPr>
  </w:style>
  <w:style w:type="paragraph" w:styleId="35">
    <w:name w:val="Body Text Indent 2"/>
    <w:basedOn w:val="1"/>
    <w:link w:val="105"/>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74"/>
    <w:qFormat/>
    <w:uiPriority w:val="0"/>
    <w:pPr>
      <w:overflowPunct w:val="0"/>
      <w:autoSpaceDE w:val="0"/>
      <w:autoSpaceDN w:val="0"/>
      <w:adjustRightInd w:val="0"/>
      <w:textAlignment w:val="baseline"/>
    </w:pPr>
    <w:rPr>
      <w:rFonts w:eastAsia="Yu Mincho"/>
    </w:rPr>
  </w:style>
  <w:style w:type="paragraph" w:styleId="37">
    <w:name w:val="Balloon Text"/>
    <w:basedOn w:val="1"/>
    <w:link w:val="65"/>
    <w:unhideWhenUsed/>
    <w:qFormat/>
    <w:uiPriority w:val="0"/>
    <w:pPr>
      <w:spacing w:after="0"/>
    </w:pPr>
    <w:rPr>
      <w:sz w:val="18"/>
      <w:szCs w:val="18"/>
    </w:rPr>
  </w:style>
  <w:style w:type="paragraph" w:styleId="38">
    <w:name w:val="footer"/>
    <w:basedOn w:val="1"/>
    <w:link w:val="100"/>
    <w:unhideWhenUsed/>
    <w:qFormat/>
    <w:uiPriority w:val="0"/>
    <w:pPr>
      <w:tabs>
        <w:tab w:val="center" w:pos="4153"/>
        <w:tab w:val="right" w:pos="8306"/>
      </w:tabs>
      <w:snapToGrid w:val="0"/>
    </w:pPr>
    <w:rPr>
      <w:sz w:val="18"/>
      <w:szCs w:val="18"/>
    </w:rPr>
  </w:style>
  <w:style w:type="paragraph" w:styleId="39">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58"/>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1"/>
    <w:qFormat/>
    <w:uiPriority w:val="0"/>
    <w:pPr>
      <w:ind w:left="1418"/>
    </w:pPr>
  </w:style>
  <w:style w:type="paragraph" w:styleId="44">
    <w:name w:val="toc 9"/>
    <w:basedOn w:val="33"/>
    <w:next w:val="1"/>
    <w:qFormat/>
    <w:uiPriority w:val="0"/>
    <w:pPr>
      <w:ind w:left="1418" w:hanging="1418"/>
    </w:pPr>
  </w:style>
  <w:style w:type="paragraph" w:styleId="4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6">
    <w:name w:val="index 1"/>
    <w:basedOn w:val="1"/>
    <w:next w:val="1"/>
    <w:unhideWhenUsed/>
    <w:qFormat/>
    <w:uiPriority w:val="0"/>
    <w:pPr>
      <w:ind w:left="200" w:hanging="200"/>
    </w:pPr>
  </w:style>
  <w:style w:type="paragraph" w:styleId="47">
    <w:name w:val="index 2"/>
    <w:basedOn w:val="46"/>
    <w:next w:val="1"/>
    <w:semiHidden/>
    <w:qFormat/>
    <w:uiPriority w:val="0"/>
    <w:pPr>
      <w:keepLines/>
      <w:spacing w:after="0"/>
      <w:ind w:left="284" w:firstLine="0"/>
    </w:pPr>
  </w:style>
  <w:style w:type="paragraph" w:styleId="48">
    <w:name w:val="annotation subject"/>
    <w:basedOn w:val="29"/>
    <w:next w:val="29"/>
    <w:link w:val="106"/>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character" w:customStyle="1" w:styleId="58">
    <w:name w:val="脚注文本 Char"/>
    <w:link w:val="41"/>
    <w:semiHidden/>
    <w:qFormat/>
    <w:uiPriority w:val="0"/>
    <w:rPr>
      <w:rFonts w:ascii="Times New Roman" w:hAnsi="Times New Roman"/>
      <w:sz w:val="16"/>
      <w:lang w:eastAsia="en-US"/>
    </w:rPr>
  </w:style>
  <w:style w:type="character" w:customStyle="1" w:styleId="59">
    <w:name w:val="页眉 Char"/>
    <w:link w:val="39"/>
    <w:qFormat/>
    <w:uiPriority w:val="0"/>
    <w:rPr>
      <w:rFonts w:ascii="Times New Roman" w:hAnsi="Times New Roman"/>
      <w:sz w:val="18"/>
      <w:szCs w:val="18"/>
      <w:lang w:val="en-GB" w:eastAsia="en-US"/>
    </w:rPr>
  </w:style>
  <w:style w:type="character" w:customStyle="1" w:styleId="60">
    <w:name w:val="TAH Car"/>
    <w:link w:val="61"/>
    <w:qFormat/>
    <w:uiPriority w:val="99"/>
    <w:rPr>
      <w:rFonts w:ascii="Arial" w:hAnsi="Arial" w:eastAsia="Times New Roman" w:cs="Arial"/>
      <w:b/>
      <w:bCs/>
      <w:sz w:val="18"/>
      <w:szCs w:val="18"/>
      <w:lang w:val="en-GB" w:eastAsia="ja-JP"/>
    </w:rPr>
  </w:style>
  <w:style w:type="paragraph" w:customStyle="1" w:styleId="61">
    <w:name w:val="TAH"/>
    <w:basedOn w:val="62"/>
    <w:link w:val="60"/>
    <w:qFormat/>
    <w:uiPriority w:val="99"/>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paragraph" w:customStyle="1" w:styleId="62">
    <w:name w:val="TAC"/>
    <w:basedOn w:val="63"/>
    <w:link w:val="94"/>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paragraph" w:customStyle="1" w:styleId="63">
    <w:name w:val="TAL"/>
    <w:basedOn w:val="1"/>
    <w:link w:val="95"/>
    <w:qFormat/>
    <w:uiPriority w:val="0"/>
    <w:pPr>
      <w:keepNext/>
      <w:keepLines/>
      <w:overflowPunct w:val="0"/>
      <w:autoSpaceDE w:val="0"/>
      <w:autoSpaceDN w:val="0"/>
      <w:adjustRightInd w:val="0"/>
      <w:spacing w:after="0"/>
    </w:pPr>
    <w:rPr>
      <w:rFonts w:ascii="Arial" w:hAnsi="Arial" w:cs="Arial"/>
      <w:sz w:val="18"/>
      <w:szCs w:val="18"/>
      <w:lang w:eastAsia="ja-JP"/>
    </w:rPr>
  </w:style>
  <w:style w:type="character" w:customStyle="1" w:styleId="64">
    <w:name w:val="标题 3 Char"/>
    <w:link w:val="4"/>
    <w:qFormat/>
    <w:uiPriority w:val="0"/>
    <w:rPr>
      <w:rFonts w:ascii="Arial" w:hAnsi="Arial"/>
      <w:sz w:val="28"/>
      <w:lang w:eastAsia="en-US"/>
    </w:rPr>
  </w:style>
  <w:style w:type="character" w:customStyle="1" w:styleId="65">
    <w:name w:val="批注框文本 Char"/>
    <w:link w:val="37"/>
    <w:qFormat/>
    <w:uiPriority w:val="0"/>
    <w:rPr>
      <w:rFonts w:ascii="Times New Roman" w:hAnsi="Times New Roman"/>
      <w:sz w:val="18"/>
      <w:szCs w:val="18"/>
      <w:lang w:val="en-GB" w:eastAsia="en-US"/>
    </w:rPr>
  </w:style>
  <w:style w:type="character" w:customStyle="1" w:styleId="66">
    <w:name w:val="标题 7 Char"/>
    <w:link w:val="8"/>
    <w:qFormat/>
    <w:uiPriority w:val="0"/>
    <w:rPr>
      <w:rFonts w:ascii="Arial" w:hAnsi="Arial"/>
      <w:lang w:eastAsia="en-US"/>
    </w:rPr>
  </w:style>
  <w:style w:type="character" w:customStyle="1" w:styleId="67">
    <w:name w:val="标题 8 Char"/>
    <w:link w:val="9"/>
    <w:qFormat/>
    <w:uiPriority w:val="0"/>
    <w:rPr>
      <w:rFonts w:ascii="Arial" w:hAnsi="Arial"/>
      <w:sz w:val="36"/>
      <w:lang w:eastAsia="en-US"/>
    </w:rPr>
  </w:style>
  <w:style w:type="character" w:customStyle="1" w:styleId="68">
    <w:name w:val="文档结构图 Char"/>
    <w:link w:val="28"/>
    <w:semiHidden/>
    <w:qFormat/>
    <w:uiPriority w:val="0"/>
    <w:rPr>
      <w:rFonts w:ascii="宋体" w:hAnsi="Times New Roman"/>
      <w:sz w:val="18"/>
      <w:szCs w:val="18"/>
      <w:lang w:val="en-GB" w:eastAsia="en-US"/>
    </w:rPr>
  </w:style>
  <w:style w:type="character" w:customStyle="1" w:styleId="69">
    <w:name w:val="标题 6 Char"/>
    <w:link w:val="7"/>
    <w:qFormat/>
    <w:uiPriority w:val="0"/>
    <w:rPr>
      <w:rFonts w:ascii="Arial" w:hAnsi="Arial"/>
      <w:lang w:eastAsia="en-US"/>
    </w:rPr>
  </w:style>
  <w:style w:type="character" w:customStyle="1" w:styleId="70">
    <w:name w:val="标题 9 Char"/>
    <w:link w:val="10"/>
    <w:qFormat/>
    <w:uiPriority w:val="0"/>
    <w:rPr>
      <w:rFonts w:ascii="Arial" w:hAnsi="Arial"/>
      <w:sz w:val="36"/>
      <w:lang w:eastAsia="en-US"/>
    </w:rPr>
  </w:style>
  <w:style w:type="character" w:customStyle="1" w:styleId="71">
    <w:name w:val="TAL Char"/>
    <w:qFormat/>
    <w:uiPriority w:val="0"/>
    <w:rPr>
      <w:rFonts w:ascii="Arial" w:hAnsi="Arial"/>
      <w:sz w:val="18"/>
      <w:lang w:eastAsia="en-US"/>
    </w:rPr>
  </w:style>
  <w:style w:type="character" w:customStyle="1" w:styleId="72">
    <w:name w:val="NO Char"/>
    <w:link w:val="73"/>
    <w:qFormat/>
    <w:uiPriority w:val="0"/>
    <w:rPr>
      <w:rFonts w:ascii="Times New Roman" w:hAnsi="Times New Roman"/>
      <w:lang w:val="zh-CN" w:eastAsia="en-US"/>
    </w:rPr>
  </w:style>
  <w:style w:type="paragraph" w:customStyle="1" w:styleId="73">
    <w:name w:val="NO"/>
    <w:basedOn w:val="1"/>
    <w:link w:val="72"/>
    <w:qFormat/>
    <w:uiPriority w:val="0"/>
    <w:pPr>
      <w:keepLines/>
      <w:ind w:left="1135" w:hanging="851"/>
    </w:pPr>
    <w:rPr>
      <w:lang w:val="zh-CN"/>
    </w:rPr>
  </w:style>
  <w:style w:type="character" w:customStyle="1" w:styleId="74">
    <w:name w:val="尾注文本 Char"/>
    <w:link w:val="36"/>
    <w:qFormat/>
    <w:uiPriority w:val="0"/>
    <w:rPr>
      <w:rFonts w:ascii="Times New Roman" w:hAnsi="Times New Roman" w:eastAsia="Yu Mincho"/>
      <w:lang w:eastAsia="en-US"/>
    </w:rPr>
  </w:style>
  <w:style w:type="character" w:customStyle="1" w:styleId="75">
    <w:name w:val="3GPP Normal Text Char"/>
    <w:link w:val="76"/>
    <w:qFormat/>
    <w:uiPriority w:val="0"/>
    <w:rPr>
      <w:rFonts w:ascii="Times New Roman" w:hAnsi="Times New Roman" w:eastAsia="MS Mincho"/>
      <w:sz w:val="22"/>
      <w:szCs w:val="24"/>
      <w:lang w:val="zh-CN" w:eastAsia="zh-CN"/>
    </w:rPr>
  </w:style>
  <w:style w:type="paragraph" w:customStyle="1" w:styleId="76">
    <w:name w:val="3GPP Normal Text"/>
    <w:basedOn w:val="30"/>
    <w:link w:val="75"/>
    <w:qFormat/>
    <w:uiPriority w:val="0"/>
    <w:pPr>
      <w:spacing w:after="120"/>
      <w:ind w:left="1440" w:hanging="1440"/>
      <w:jc w:val="both"/>
    </w:pPr>
    <w:rPr>
      <w:rFonts w:eastAsia="MS Mincho"/>
      <w:sz w:val="22"/>
      <w:szCs w:val="24"/>
      <w:lang w:val="zh-CN" w:eastAsia="zh-CN"/>
    </w:rPr>
  </w:style>
  <w:style w:type="character" w:customStyle="1" w:styleId="77">
    <w:name w:val="ZGSM"/>
    <w:qFormat/>
    <w:uiPriority w:val="0"/>
  </w:style>
  <w:style w:type="character" w:customStyle="1" w:styleId="78">
    <w:name w:val="CR Cover Page Char"/>
    <w:link w:val="79"/>
    <w:qFormat/>
    <w:uiPriority w:val="0"/>
    <w:rPr>
      <w:rFonts w:ascii="Arial" w:hAnsi="Arial"/>
      <w:lang w:eastAsia="en-US"/>
    </w:rPr>
  </w:style>
  <w:style w:type="paragraph" w:customStyle="1" w:styleId="79">
    <w:name w:val="CR Cover Page"/>
    <w:link w:val="78"/>
    <w:qFormat/>
    <w:uiPriority w:val="0"/>
    <w:pPr>
      <w:spacing w:after="120" w:line="259" w:lineRule="auto"/>
    </w:pPr>
    <w:rPr>
      <w:rFonts w:ascii="Arial" w:hAnsi="Arial" w:eastAsia="宋体" w:cs="Times New Roman"/>
      <w:lang w:val="en-GB" w:eastAsia="en-US" w:bidi="ar-SA"/>
    </w:rPr>
  </w:style>
  <w:style w:type="character" w:customStyle="1" w:styleId="80">
    <w:name w:val="样式 页眉 Char"/>
    <w:link w:val="81"/>
    <w:qFormat/>
    <w:uiPriority w:val="0"/>
    <w:rPr>
      <w:rFonts w:ascii="Arial" w:hAnsi="Arial" w:eastAsia="Arial"/>
      <w:b/>
      <w:bCs/>
      <w:sz w:val="22"/>
      <w:lang w:eastAsia="en-US"/>
    </w:rPr>
  </w:style>
  <w:style w:type="paragraph" w:customStyle="1" w:styleId="81">
    <w:name w:val="样式 页眉"/>
    <w:basedOn w:val="39"/>
    <w:link w:val="80"/>
    <w:qFormat/>
    <w:uiPriority w:val="0"/>
    <w:pPr>
      <w:widowControl w:val="0"/>
      <w:pBdr>
        <w:bottom w:val="none" w:color="auto" w:sz="0" w:space="0"/>
      </w:pBdr>
      <w:tabs>
        <w:tab w:val="clear" w:pos="4153"/>
        <w:tab w:val="clear" w:pos="8306"/>
      </w:tabs>
      <w:overflowPunct w:val="0"/>
      <w:autoSpaceDE w:val="0"/>
      <w:autoSpaceDN w:val="0"/>
      <w:adjustRightInd w:val="0"/>
      <w:snapToGrid/>
      <w:spacing w:after="160"/>
      <w:jc w:val="left"/>
      <w:textAlignment w:val="baseline"/>
    </w:pPr>
    <w:rPr>
      <w:rFonts w:ascii="Arial" w:hAnsi="Arial" w:eastAsia="Arial"/>
      <w:b/>
      <w:bCs/>
      <w:sz w:val="22"/>
      <w:szCs w:val="20"/>
    </w:rPr>
  </w:style>
  <w:style w:type="character" w:customStyle="1" w:styleId="82">
    <w:name w:val="正文文本 Char"/>
    <w:link w:val="30"/>
    <w:qFormat/>
    <w:uiPriority w:val="0"/>
    <w:rPr>
      <w:rFonts w:ascii="Times New Roman" w:hAnsi="Times New Roman"/>
      <w:lang w:eastAsia="en-US"/>
    </w:rPr>
  </w:style>
  <w:style w:type="character" w:customStyle="1" w:styleId="83">
    <w:name w:val="批注主题 Char"/>
    <w:qFormat/>
    <w:uiPriority w:val="0"/>
    <w:rPr>
      <w:rFonts w:ascii="Times New Roman" w:hAnsi="Times New Roman"/>
      <w:lang w:val="en-GB" w:eastAsia="en-US"/>
    </w:rPr>
  </w:style>
  <w:style w:type="character" w:customStyle="1" w:styleId="84">
    <w:name w:val="PL Char"/>
    <w:link w:val="85"/>
    <w:qFormat/>
    <w:uiPriority w:val="0"/>
    <w:rPr>
      <w:rFonts w:ascii="Courier New" w:hAnsi="Courier New"/>
      <w:sz w:val="16"/>
      <w:lang w:eastAsia="en-US"/>
    </w:rPr>
  </w:style>
  <w:style w:type="paragraph" w:customStyle="1" w:styleId="8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6">
    <w:name w:val="H6 Char"/>
    <w:link w:val="87"/>
    <w:qFormat/>
    <w:uiPriority w:val="0"/>
    <w:rPr>
      <w:rFonts w:ascii="Arial" w:hAnsi="Arial"/>
      <w:szCs w:val="18"/>
      <w:lang w:val="sv-SE" w:eastAsia="zh-CN"/>
    </w:rPr>
  </w:style>
  <w:style w:type="paragraph" w:customStyle="1" w:styleId="87">
    <w:name w:val="H6"/>
    <w:basedOn w:val="6"/>
    <w:next w:val="1"/>
    <w:link w:val="86"/>
    <w:qFormat/>
    <w:uiPriority w:val="0"/>
    <w:pPr>
      <w:numPr>
        <w:numId w:val="0"/>
      </w:numPr>
      <w:ind w:left="1985" w:hanging="1985"/>
      <w:outlineLvl w:val="9"/>
    </w:pPr>
    <w:rPr>
      <w:sz w:val="20"/>
      <w:szCs w:val="18"/>
      <w:lang w:val="sv-SE" w:eastAsia="zh-CN"/>
    </w:rPr>
  </w:style>
  <w:style w:type="character" w:customStyle="1" w:styleId="88">
    <w:name w:val="列出段落 Char"/>
    <w:link w:val="89"/>
    <w:qFormat/>
    <w:locked/>
    <w:uiPriority w:val="34"/>
    <w:rPr>
      <w:rFonts w:ascii="Times New Roman" w:hAnsi="Times New Roman"/>
      <w:lang w:eastAsia="en-US"/>
    </w:rPr>
  </w:style>
  <w:style w:type="paragraph" w:styleId="89">
    <w:name w:val="List Paragraph"/>
    <w:basedOn w:val="1"/>
    <w:link w:val="88"/>
    <w:qFormat/>
    <w:uiPriority w:val="34"/>
    <w:pPr>
      <w:ind w:firstLine="420" w:firstLineChars="200"/>
    </w:pPr>
  </w:style>
  <w:style w:type="character" w:customStyle="1" w:styleId="90">
    <w:name w:val="标题 1 Char"/>
    <w:link w:val="2"/>
    <w:qFormat/>
    <w:uiPriority w:val="0"/>
    <w:rPr>
      <w:rFonts w:ascii="Arial" w:hAnsi="Arial"/>
      <w:sz w:val="36"/>
      <w:lang w:eastAsia="en-US"/>
    </w:rPr>
  </w:style>
  <w:style w:type="character" w:customStyle="1" w:styleId="91">
    <w:name w:val="标题 2 Char"/>
    <w:link w:val="3"/>
    <w:qFormat/>
    <w:uiPriority w:val="0"/>
    <w:rPr>
      <w:rFonts w:ascii="Arial" w:hAnsi="Arial"/>
      <w:sz w:val="32"/>
      <w:lang w:eastAsia="en-US"/>
    </w:rPr>
  </w:style>
  <w:style w:type="character" w:customStyle="1" w:styleId="92">
    <w:name w:val="标题 4 Char"/>
    <w:link w:val="5"/>
    <w:qFormat/>
    <w:uiPriority w:val="0"/>
    <w:rPr>
      <w:rFonts w:ascii="Arial" w:hAnsi="Arial"/>
      <w:sz w:val="24"/>
      <w:lang w:eastAsia="en-US"/>
    </w:rPr>
  </w:style>
  <w:style w:type="character" w:customStyle="1" w:styleId="93">
    <w:name w:val="标题 5 Char"/>
    <w:link w:val="6"/>
    <w:qFormat/>
    <w:uiPriority w:val="0"/>
    <w:rPr>
      <w:rFonts w:ascii="Arial" w:hAnsi="Arial"/>
      <w:sz w:val="22"/>
      <w:lang w:eastAsia="en-US"/>
    </w:rPr>
  </w:style>
  <w:style w:type="character" w:customStyle="1" w:styleId="94">
    <w:name w:val="TAC Char"/>
    <w:link w:val="62"/>
    <w:qFormat/>
    <w:uiPriority w:val="0"/>
    <w:rPr>
      <w:rFonts w:ascii="Arial" w:hAnsi="Arial" w:eastAsia="Times New Roman"/>
      <w:sz w:val="18"/>
      <w:lang w:eastAsia="en-GB"/>
    </w:rPr>
  </w:style>
  <w:style w:type="character" w:customStyle="1" w:styleId="95">
    <w:name w:val="TAL Car"/>
    <w:link w:val="63"/>
    <w:qFormat/>
    <w:locked/>
    <w:uiPriority w:val="0"/>
    <w:rPr>
      <w:rFonts w:ascii="Arial" w:hAnsi="Arial" w:cs="Arial"/>
      <w:sz w:val="18"/>
      <w:szCs w:val="18"/>
      <w:lang w:val="en-GB" w:eastAsia="ja-JP"/>
    </w:rPr>
  </w:style>
  <w:style w:type="character" w:customStyle="1" w:styleId="96">
    <w:name w:val="TH Char"/>
    <w:link w:val="97"/>
    <w:qFormat/>
    <w:locked/>
    <w:uiPriority w:val="0"/>
    <w:rPr>
      <w:rFonts w:ascii="Arial" w:hAnsi="Arial" w:cs="Arial"/>
      <w:b/>
      <w:bCs/>
      <w:lang w:val="en-GB" w:eastAsia="ja-JP"/>
    </w:rPr>
  </w:style>
  <w:style w:type="paragraph" w:customStyle="1" w:styleId="97">
    <w:name w:val="TH"/>
    <w:basedOn w:val="1"/>
    <w:link w:val="96"/>
    <w:qFormat/>
    <w:uiPriority w:val="0"/>
    <w:pPr>
      <w:keepNext/>
      <w:keepLines/>
      <w:overflowPunct w:val="0"/>
      <w:autoSpaceDE w:val="0"/>
      <w:autoSpaceDN w:val="0"/>
      <w:adjustRightInd w:val="0"/>
      <w:spacing w:before="60"/>
      <w:jc w:val="center"/>
    </w:pPr>
    <w:rPr>
      <w:rFonts w:ascii="Arial" w:hAnsi="Arial" w:cs="Arial"/>
      <w:b/>
      <w:bCs/>
      <w:lang w:eastAsia="ja-JP"/>
    </w:rPr>
  </w:style>
  <w:style w:type="character" w:customStyle="1" w:styleId="98">
    <w:name w:val="TAN Char"/>
    <w:link w:val="99"/>
    <w:qFormat/>
    <w:uiPriority w:val="0"/>
    <w:rPr>
      <w:rFonts w:ascii="Arial" w:hAnsi="Arial" w:cs="Arial"/>
      <w:sz w:val="18"/>
      <w:szCs w:val="18"/>
      <w:lang w:val="en-GB" w:eastAsia="en-US"/>
    </w:rPr>
  </w:style>
  <w:style w:type="paragraph" w:customStyle="1" w:styleId="99">
    <w:name w:val="TAN"/>
    <w:basedOn w:val="63"/>
    <w:link w:val="98"/>
    <w:qFormat/>
    <w:uiPriority w:val="0"/>
    <w:pPr>
      <w:overflowPunct/>
      <w:autoSpaceDE/>
      <w:autoSpaceDN/>
      <w:adjustRightInd/>
      <w:ind w:left="851" w:hanging="851"/>
    </w:pPr>
    <w:rPr>
      <w:rFonts w:cs="Times New Roman"/>
      <w:szCs w:val="20"/>
      <w:lang w:eastAsia="en-US"/>
    </w:rPr>
  </w:style>
  <w:style w:type="character" w:customStyle="1" w:styleId="100">
    <w:name w:val="页脚 Char"/>
    <w:link w:val="38"/>
    <w:qFormat/>
    <w:uiPriority w:val="0"/>
    <w:rPr>
      <w:rFonts w:ascii="Times New Roman" w:hAnsi="Times New Roman"/>
      <w:sz w:val="18"/>
      <w:szCs w:val="18"/>
      <w:lang w:val="en-GB" w:eastAsia="en-US"/>
    </w:rPr>
  </w:style>
  <w:style w:type="character" w:customStyle="1" w:styleId="101">
    <w:name w:val="日期 Char"/>
    <w:link w:val="34"/>
    <w:semiHidden/>
    <w:qFormat/>
    <w:uiPriority w:val="99"/>
    <w:rPr>
      <w:rFonts w:ascii="Times New Roman" w:hAnsi="Times New Roman"/>
      <w:lang w:val="en-GB" w:eastAsia="en-US"/>
    </w:rPr>
  </w:style>
  <w:style w:type="character" w:customStyle="1" w:styleId="102">
    <w:name w:val="texhtml"/>
    <w:basedOn w:val="51"/>
    <w:qFormat/>
    <w:uiPriority w:val="0"/>
  </w:style>
  <w:style w:type="character" w:customStyle="1" w:styleId="103">
    <w:name w:val="批注文字 Char"/>
    <w:link w:val="29"/>
    <w:qFormat/>
    <w:uiPriority w:val="99"/>
    <w:rPr>
      <w:rFonts w:ascii="Times New Roman" w:hAnsi="Times New Roman"/>
      <w:lang w:eastAsia="en-US"/>
    </w:rPr>
  </w:style>
  <w:style w:type="character" w:customStyle="1" w:styleId="104">
    <w:name w:val="纯文本 Char"/>
    <w:link w:val="31"/>
    <w:qFormat/>
    <w:uiPriority w:val="99"/>
    <w:rPr>
      <w:rFonts w:ascii="Courier New" w:hAnsi="Courier New"/>
      <w:lang w:val="nb-NO" w:eastAsia="en-US"/>
    </w:rPr>
  </w:style>
  <w:style w:type="character" w:customStyle="1" w:styleId="105">
    <w:name w:val="正文文本缩进 2 Char"/>
    <w:link w:val="35"/>
    <w:qFormat/>
    <w:uiPriority w:val="0"/>
    <w:rPr>
      <w:rFonts w:ascii="Arial" w:hAnsi="Arial" w:eastAsia="Yu Mincho"/>
      <w:sz w:val="22"/>
      <w:lang w:eastAsia="en-US"/>
    </w:rPr>
  </w:style>
  <w:style w:type="character" w:customStyle="1" w:styleId="106">
    <w:name w:val="批注主题 Char1"/>
    <w:link w:val="48"/>
    <w:qFormat/>
    <w:uiPriority w:val="0"/>
    <w:rPr>
      <w:rFonts w:ascii="Times New Roman" w:hAnsi="Times New Roman"/>
      <w:b/>
      <w:bCs/>
      <w:lang w:eastAsia="en-US"/>
    </w:rPr>
  </w:style>
  <w:style w:type="character" w:customStyle="1" w:styleId="107">
    <w:name w:val="Guidance Char"/>
    <w:link w:val="108"/>
    <w:qFormat/>
    <w:uiPriority w:val="0"/>
    <w:rPr>
      <w:rFonts w:ascii="Times New Roman" w:hAnsi="Times New Roman"/>
      <w:i/>
      <w:color w:val="0000FF"/>
      <w:lang w:val="zh-CN" w:eastAsia="en-US"/>
    </w:rPr>
  </w:style>
  <w:style w:type="paragraph" w:customStyle="1" w:styleId="108">
    <w:name w:val="Guidance"/>
    <w:basedOn w:val="1"/>
    <w:link w:val="107"/>
    <w:qFormat/>
    <w:uiPriority w:val="0"/>
    <w:rPr>
      <w:i/>
      <w:color w:val="0000FF"/>
      <w:lang w:val="zh-CN"/>
    </w:rPr>
  </w:style>
  <w:style w:type="character" w:customStyle="1" w:styleId="109">
    <w:name w:val="B1 Char"/>
    <w:link w:val="110"/>
    <w:qFormat/>
    <w:uiPriority w:val="0"/>
    <w:rPr>
      <w:rFonts w:ascii="Times New Roman" w:hAnsi="Times New Roman"/>
      <w:lang w:eastAsia="en-US"/>
    </w:rPr>
  </w:style>
  <w:style w:type="paragraph" w:customStyle="1" w:styleId="110">
    <w:name w:val="B1"/>
    <w:basedOn w:val="13"/>
    <w:link w:val="109"/>
    <w:qFormat/>
    <w:uiPriority w:val="0"/>
  </w:style>
  <w:style w:type="character" w:customStyle="1" w:styleId="111">
    <w:name w:val="题注 Char"/>
    <w:link w:val="27"/>
    <w:qFormat/>
    <w:uiPriority w:val="0"/>
    <w:rPr>
      <w:rFonts w:ascii="Times New Roman" w:hAnsi="Times New Roman"/>
      <w:b/>
      <w:bCs/>
      <w:lang w:val="en-US" w:eastAsia="en-US"/>
    </w:rPr>
  </w:style>
  <w:style w:type="character" w:customStyle="1" w:styleId="112">
    <w:name w:val="Caption Char1"/>
    <w:qFormat/>
    <w:uiPriority w:val="0"/>
    <w:rPr>
      <w:rFonts w:eastAsia="Times New Roman"/>
      <w:b/>
      <w:lang w:val="en-GB" w:eastAsia="en-US"/>
    </w:rPr>
  </w:style>
  <w:style w:type="character" w:customStyle="1" w:styleId="113">
    <w:name w:val="Subtle Reference1"/>
    <w:qFormat/>
    <w:uiPriority w:val="31"/>
    <w:rPr>
      <w:smallCaps/>
      <w:color w:val="C0504D"/>
      <w:u w:val="single"/>
    </w:rPr>
  </w:style>
  <w:style w:type="character" w:customStyle="1" w:styleId="114">
    <w:name w:val="Unresolved Mention1"/>
    <w:unhideWhenUsed/>
    <w:qFormat/>
    <w:uiPriority w:val="99"/>
    <w:rPr>
      <w:color w:val="808080"/>
      <w:shd w:val="clear" w:color="auto" w:fill="E6E6E6"/>
    </w:rPr>
  </w:style>
  <w:style w:type="character" w:customStyle="1" w:styleId="115">
    <w:name w:val="EQ Char"/>
    <w:link w:val="116"/>
    <w:qFormat/>
    <w:locked/>
    <w:uiPriority w:val="0"/>
    <w:rPr>
      <w:rFonts w:ascii="Times New Roman" w:hAnsi="Times New Roman"/>
      <w:lang w:eastAsia="en-US"/>
    </w:rPr>
  </w:style>
  <w:style w:type="paragraph" w:customStyle="1" w:styleId="116">
    <w:name w:val="EQ"/>
    <w:basedOn w:val="1"/>
    <w:next w:val="1"/>
    <w:link w:val="115"/>
    <w:qFormat/>
    <w:uiPriority w:val="0"/>
    <w:pPr>
      <w:keepLines/>
      <w:tabs>
        <w:tab w:val="center" w:pos="4536"/>
        <w:tab w:val="right" w:pos="9072"/>
      </w:tabs>
    </w:pPr>
  </w:style>
  <w:style w:type="character" w:customStyle="1" w:styleId="117">
    <w:name w:val="normaltextrun"/>
    <w:basedOn w:val="51"/>
    <w:qFormat/>
    <w:uiPriority w:val="0"/>
  </w:style>
  <w:style w:type="paragraph" w:customStyle="1" w:styleId="118">
    <w:name w:val="TF"/>
    <w:basedOn w:val="97"/>
    <w:qFormat/>
    <w:uiPriority w:val="0"/>
    <w:pPr>
      <w:keepNext w:val="0"/>
      <w:overflowPunct/>
      <w:autoSpaceDE/>
      <w:autoSpaceDN/>
      <w:adjustRightInd/>
      <w:spacing w:before="0" w:after="240"/>
    </w:pPr>
    <w:rPr>
      <w:rFonts w:cs="Times New Roman"/>
      <w:bCs w:val="0"/>
      <w:lang w:val="zh-CN" w:eastAsia="en-US"/>
    </w:rPr>
  </w:style>
  <w:style w:type="paragraph" w:customStyle="1" w:styleId="119">
    <w:name w:val="INDENT1"/>
    <w:basedOn w:val="1"/>
    <w:qFormat/>
    <w:uiPriority w:val="0"/>
    <w:pPr>
      <w:ind w:left="851"/>
    </w:pPr>
  </w:style>
  <w:style w:type="paragraph" w:customStyle="1" w:styleId="120">
    <w:name w:val="ZTD"/>
    <w:basedOn w:val="121"/>
    <w:qFormat/>
    <w:uiPriority w:val="0"/>
    <w:pPr>
      <w:framePr w:hRule="auto" w:y="852"/>
    </w:pPr>
    <w:rPr>
      <w:i w:val="0"/>
      <w:sz w:val="40"/>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22">
    <w:name w:val="TAR"/>
    <w:basedOn w:val="63"/>
    <w:qFormat/>
    <w:uiPriority w:val="0"/>
    <w:pPr>
      <w:overflowPunct/>
      <w:autoSpaceDE/>
      <w:autoSpaceDN/>
      <w:adjustRightInd/>
      <w:jc w:val="right"/>
    </w:pPr>
    <w:rPr>
      <w:rFonts w:cs="Times New Roman"/>
      <w:szCs w:val="20"/>
      <w:lang w:val="zh-CN" w:eastAsia="en-US"/>
    </w:rPr>
  </w:style>
  <w:style w:type="paragraph" w:customStyle="1" w:styleId="123">
    <w:name w:val="B5"/>
    <w:basedOn w:val="42"/>
    <w:qFormat/>
    <w:uiPriority w:val="0"/>
  </w:style>
  <w:style w:type="paragraph" w:customStyle="1" w:styleId="124">
    <w:name w:val="B2"/>
    <w:basedOn w:val="12"/>
    <w:qFormat/>
    <w:uiPriority w:val="0"/>
  </w:style>
  <w:style w:type="paragraph" w:customStyle="1" w:styleId="125">
    <w:name w:val="HE"/>
    <w:basedOn w:val="1"/>
    <w:qFormat/>
    <w:uiPriority w:val="0"/>
    <w:pPr>
      <w:overflowPunct w:val="0"/>
      <w:autoSpaceDE w:val="0"/>
      <w:autoSpaceDN w:val="0"/>
      <w:adjustRightInd w:val="0"/>
      <w:textAlignment w:val="baseline"/>
    </w:pPr>
    <w:rPr>
      <w:rFonts w:ascii="Arial" w:hAnsi="Arial" w:eastAsia="Yu Mincho"/>
      <w:b/>
    </w:rPr>
  </w:style>
  <w:style w:type="paragraph" w:customStyle="1" w:styleId="126">
    <w:name w:val="B3"/>
    <w:basedOn w:val="11"/>
    <w:qFormat/>
    <w:uiPriority w:val="0"/>
  </w:style>
  <w:style w:type="paragraph" w:customStyle="1" w:styleId="127">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28">
    <w:name w:val="TT"/>
    <w:basedOn w:val="2"/>
    <w:next w:val="1"/>
    <w:qFormat/>
    <w:uiPriority w:val="0"/>
    <w:pPr>
      <w:tabs>
        <w:tab w:val="clear" w:pos="432"/>
      </w:tabs>
      <w:outlineLvl w:val="9"/>
    </w:pPr>
    <w:rPr>
      <w:lang w:val="sv-SE"/>
    </w:rPr>
  </w:style>
  <w:style w:type="paragraph" w:customStyle="1" w:styleId="129">
    <w:name w:val="NF"/>
    <w:basedOn w:val="73"/>
    <w:qFormat/>
    <w:uiPriority w:val="0"/>
    <w:pPr>
      <w:keepNext/>
      <w:spacing w:after="0"/>
    </w:pPr>
    <w:rPr>
      <w:rFonts w:ascii="Arial" w:hAnsi="Arial"/>
      <w:sz w:val="18"/>
    </w:rPr>
  </w:style>
  <w:style w:type="paragraph" w:customStyle="1" w:styleId="13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3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32">
    <w:name w:val="EX"/>
    <w:basedOn w:val="1"/>
    <w:qFormat/>
    <w:uiPriority w:val="0"/>
    <w:pPr>
      <w:keepLines/>
      <w:ind w:left="1702" w:hanging="1418"/>
    </w:pPr>
  </w:style>
  <w:style w:type="paragraph" w:customStyle="1" w:styleId="133">
    <w:name w:val="Couv Rec Title"/>
    <w:basedOn w:val="1"/>
    <w:qFormat/>
    <w:uiPriority w:val="0"/>
    <w:pPr>
      <w:keepNext/>
      <w:keepLines/>
      <w:spacing w:before="240"/>
      <w:ind w:left="1418"/>
    </w:pPr>
    <w:rPr>
      <w:rFonts w:ascii="Arial" w:hAnsi="Arial"/>
      <w:b/>
      <w:sz w:val="36"/>
      <w:lang w:val="en-US"/>
    </w:rPr>
  </w:style>
  <w:style w:type="paragraph" w:customStyle="1" w:styleId="134">
    <w:name w:val="FP"/>
    <w:basedOn w:val="1"/>
    <w:qFormat/>
    <w:uiPriority w:val="0"/>
    <w:pPr>
      <w:spacing w:after="0"/>
    </w:pPr>
  </w:style>
  <w:style w:type="paragraph" w:customStyle="1" w:styleId="135">
    <w:name w:val="NW"/>
    <w:basedOn w:val="73"/>
    <w:qFormat/>
    <w:uiPriority w:val="0"/>
    <w:pPr>
      <w:spacing w:after="0"/>
    </w:pPr>
  </w:style>
  <w:style w:type="paragraph" w:customStyle="1" w:styleId="136">
    <w:name w:val="INDENT3"/>
    <w:basedOn w:val="1"/>
    <w:qFormat/>
    <w:uiPriority w:val="0"/>
    <w:pPr>
      <w:ind w:left="1701" w:hanging="567"/>
    </w:pPr>
  </w:style>
  <w:style w:type="paragraph" w:customStyle="1" w:styleId="137">
    <w:name w:val="EW"/>
    <w:basedOn w:val="132"/>
    <w:qFormat/>
    <w:uiPriority w:val="0"/>
    <w:pPr>
      <w:spacing w:after="0"/>
    </w:pPr>
  </w:style>
  <w:style w:type="paragraph" w:customStyle="1" w:styleId="138">
    <w:name w:val="Editor's Note"/>
    <w:basedOn w:val="73"/>
    <w:qFormat/>
    <w:uiPriority w:val="0"/>
    <w:rPr>
      <w:color w:val="FF0000"/>
    </w:rPr>
  </w:style>
  <w:style w:type="paragraph" w:customStyle="1" w:styleId="13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40">
    <w:name w:val="tal"/>
    <w:basedOn w:val="1"/>
    <w:qFormat/>
    <w:uiPriority w:val="0"/>
    <w:pPr>
      <w:spacing w:before="100" w:beforeAutospacing="1" w:after="100" w:afterAutospacing="1"/>
    </w:pPr>
    <w:rPr>
      <w:rFonts w:eastAsia="Calibri"/>
      <w:sz w:val="24"/>
      <w:szCs w:val="24"/>
      <w:lang w:val="en-US"/>
    </w:rPr>
  </w:style>
  <w:style w:type="paragraph" w:customStyle="1" w:styleId="141">
    <w:name w:val="B4"/>
    <w:basedOn w:val="43"/>
    <w:qFormat/>
    <w:uiPriority w:val="0"/>
  </w:style>
  <w:style w:type="paragraph" w:customStyle="1" w:styleId="14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4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45">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6">
    <w:name w:val="ZV"/>
    <w:basedOn w:val="143"/>
    <w:qFormat/>
    <w:uiPriority w:val="0"/>
    <w:pPr>
      <w:framePr w:y="16161"/>
    </w:pPr>
  </w:style>
  <w:style w:type="paragraph" w:customStyle="1" w:styleId="147">
    <w:name w:val="INDENT2"/>
    <w:basedOn w:val="1"/>
    <w:qFormat/>
    <w:uiPriority w:val="0"/>
    <w:pPr>
      <w:ind w:left="1135" w:hanging="284"/>
    </w:pPr>
  </w:style>
  <w:style w:type="paragraph" w:customStyle="1" w:styleId="14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TAJ"/>
    <w:basedOn w:val="97"/>
    <w:qFormat/>
    <w:uiPriority w:val="0"/>
    <w:pPr>
      <w:overflowPunct/>
      <w:autoSpaceDE/>
      <w:autoSpaceDN/>
      <w:adjustRightInd/>
    </w:pPr>
    <w:rPr>
      <w:rFonts w:cs="Times New Roman"/>
      <w:bCs w:val="0"/>
      <w:lang w:val="zh-CN" w:eastAsia="en-US"/>
    </w:rPr>
  </w:style>
  <w:style w:type="paragraph" w:customStyle="1" w:styleId="152">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5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styleId="15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15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156">
    <w:name w:val="tah"/>
    <w:basedOn w:val="1"/>
    <w:qFormat/>
    <w:uiPriority w:val="0"/>
    <w:pPr>
      <w:spacing w:before="100" w:beforeAutospacing="1" w:after="100" w:afterAutospacing="1"/>
    </w:pPr>
    <w:rPr>
      <w:rFonts w:eastAsia="Calibri"/>
      <w:sz w:val="24"/>
      <w:szCs w:val="24"/>
      <w:lang w:val="en-US"/>
    </w:rPr>
  </w:style>
  <w:style w:type="table" w:customStyle="1" w:styleId="157">
    <w:name w:val="Table Grid1"/>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3"/>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2390C5-A3DD-4E73-BAA6-FFCF50F070B3}">
  <ds:schemaRefs/>
</ds:datastoreItem>
</file>

<file path=customXml/itemProps3.xml><?xml version="1.0" encoding="utf-8"?>
<ds:datastoreItem xmlns:ds="http://schemas.openxmlformats.org/officeDocument/2006/customXml" ds:itemID="{0C51F8B9-6FDA-4EF6-B1BE-F2CC81632464}">
  <ds:schemaRefs/>
</ds:datastoreItem>
</file>

<file path=customXml/itemProps4.xml><?xml version="1.0" encoding="utf-8"?>
<ds:datastoreItem xmlns:ds="http://schemas.openxmlformats.org/officeDocument/2006/customXml" ds:itemID="{112C941A-E0E2-49B2-AE14-A71704B58BAF}">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4</Pages>
  <Words>762</Words>
  <Characters>4345</Characters>
  <Lines>36</Lines>
  <Paragraphs>10</Paragraphs>
  <TotalTime>0</TotalTime>
  <ScaleCrop>false</ScaleCrop>
  <LinksUpToDate>false</LinksUpToDate>
  <CharactersWithSpaces>5097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2022-10-17T16:28:00Z</dcterms:created>
  <dc:creator>Dai Xizeng</dc:creator>
  <cp:lastModifiedBy>ZTE,Fei Xue</cp:lastModifiedBy>
  <dcterms:modified xsi:type="dcterms:W3CDTF">2023-03-02T15:48:26Z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(3)FoHzTumsnb+PPAew6/MqwrUGsdOu5353GOQt1M+wlpi3qILH6efP10HR/x2JGIbSdwZF8H+E
6s9Eyj3MwOEFzlZxguqB4I9DggxGqGPooqcddTEmkxn0ororFhR/LXzdClUQNr98QD0zO2X1
q8wdgEjG6FeJeejYghkcIyMa5rRin1aMoHS+x17stA+BOCxbU2ikPHAI/FUrZ0zzfroCnCOX
hcc/IXAGENzZ33aO1B</vt:lpwstr>
  </property>
  <property fmtid="{D5CDD505-2E9C-101B-9397-08002B2CF9AE}" pid="10" name="_2015_ms_pID_725343_00">
    <vt:lpwstr>_2015_ms_pID_725343</vt:lpwstr>
  </property>
  <property fmtid="{D5CDD505-2E9C-101B-9397-08002B2CF9AE}" pid="11" name="_2015_ms_pID_7253431">
    <vt:lpwstr>WiaW++IRlnQDh5mi31O6pJUs504hl3Y7DCP/cu8fmISO3eCA//u+pe
nqXFrcL1fl9C4/EPvFmDJjKn7+cx6mR9duBwqtR6TxL93vKNV/Z8ZpgFN6pivMJVX2aLlJn8
kBXElPbm8tdNSC4Lp+vmM0qNH4Gr5PUJLVvVJFbave2h4CupyJgRqR0Shbg/a1DL18GdnCPT
mpk7Ds+zVFHMXIcYY4rBUw0Hh6moaeGvzHMd</vt:lpwstr>
  </property>
  <property fmtid="{D5CDD505-2E9C-101B-9397-08002B2CF9AE}" pid="12" name="_2015_ms_pID_7253431_00">
    <vt:lpwstr>_2015_ms_pID_7253431</vt:lpwstr>
  </property>
  <property fmtid="{D5CDD505-2E9C-101B-9397-08002B2CF9AE}" pid="13" name="_2015_ms_pID_7253432">
    <vt:lpwstr>Ig==</vt:lpwstr>
  </property>
  <property fmtid="{D5CDD505-2E9C-101B-9397-08002B2CF9AE}" pid="14" name="KSOProductBuildVer">
    <vt:lpwstr>2052-11.8.2.8875</vt:lpwstr>
  </property>
  <property fmtid="{D5CDD505-2E9C-101B-9397-08002B2CF9AE}" pid="15" name="ContentTypeId">
    <vt:lpwstr>0x010100F3E9551B3FDDA24EBF0A209BAAD637CA</vt:lpwstr>
  </property>
  <property fmtid="{D5CDD505-2E9C-101B-9397-08002B2CF9AE}" pid="16" name="MediaServiceImageTags">
    <vt:lpwstr/>
  </property>
</Properties>
</file>